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DF" w:rsidRPr="008547EE" w:rsidRDefault="001231DF" w:rsidP="001231D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8547EE">
        <w:rPr>
          <w:rFonts w:ascii="Times New Roman" w:hAnsi="Times New Roman"/>
          <w:b/>
          <w:caps/>
          <w:sz w:val="28"/>
          <w:szCs w:val="28"/>
        </w:rPr>
        <w:t>Анжеро-Судженск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639">
        <w:rPr>
          <w:rFonts w:ascii="Times New Roman" w:hAnsi="Times New Roman"/>
          <w:sz w:val="28"/>
          <w:szCs w:val="28"/>
        </w:rPr>
        <w:t xml:space="preserve">Результатом пандемии </w:t>
      </w:r>
      <w:proofErr w:type="spellStart"/>
      <w:r w:rsidRPr="00200639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200639">
        <w:rPr>
          <w:rFonts w:ascii="Times New Roman" w:hAnsi="Times New Roman"/>
          <w:sz w:val="28"/>
          <w:szCs w:val="28"/>
        </w:rPr>
        <w:t xml:space="preserve"> стали негативные тенденции в экономике, сопровождающиеся ростом безработицы. 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639">
        <w:rPr>
          <w:rFonts w:ascii="Times New Roman" w:hAnsi="Times New Roman"/>
          <w:sz w:val="28"/>
          <w:szCs w:val="28"/>
        </w:rPr>
        <w:t xml:space="preserve">За отчетный период численность работающих на крупных и средних </w:t>
      </w:r>
      <w:proofErr w:type="gramStart"/>
      <w:r w:rsidRPr="00200639">
        <w:rPr>
          <w:rFonts w:ascii="Times New Roman" w:hAnsi="Times New Roman"/>
          <w:sz w:val="28"/>
          <w:szCs w:val="28"/>
        </w:rPr>
        <w:t>предприятиях</w:t>
      </w:r>
      <w:proofErr w:type="gramEnd"/>
      <w:r w:rsidRPr="00200639">
        <w:rPr>
          <w:rFonts w:ascii="Times New Roman" w:hAnsi="Times New Roman"/>
          <w:sz w:val="28"/>
          <w:szCs w:val="28"/>
        </w:rPr>
        <w:t xml:space="preserve"> сократилась на 3,9% и составила 14473 человека (-564 человека), что обусловлено завершением строительства 2-й очереди </w:t>
      </w:r>
      <w:proofErr w:type="spellStart"/>
      <w:r w:rsidRPr="00200639">
        <w:rPr>
          <w:rFonts w:ascii="Times New Roman" w:hAnsi="Times New Roman"/>
          <w:sz w:val="28"/>
          <w:szCs w:val="28"/>
        </w:rPr>
        <w:t>Яйского</w:t>
      </w:r>
      <w:proofErr w:type="spellEnd"/>
      <w:r w:rsidRPr="00200639">
        <w:rPr>
          <w:rFonts w:ascii="Times New Roman" w:hAnsi="Times New Roman"/>
          <w:sz w:val="28"/>
          <w:szCs w:val="28"/>
        </w:rPr>
        <w:t xml:space="preserve"> НПЗ и прекращением деятельности на территории города подрядной организации. 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639">
        <w:rPr>
          <w:rFonts w:ascii="Times New Roman" w:hAnsi="Times New Roman"/>
          <w:sz w:val="28"/>
          <w:szCs w:val="28"/>
        </w:rPr>
        <w:t xml:space="preserve">Негативные тенденции в экономике сопровождаются увеличением общего уровня безработицы. С высвобождением работников ряда предприятий и с введением дополнительных мер государственной поддержки на рынке труда в сентябре 2020 года уровень официально зарегистрированной безработицы достигал 6,1% или порядка 2,4 </w:t>
      </w:r>
      <w:proofErr w:type="spellStart"/>
      <w:r w:rsidRPr="00200639">
        <w:rPr>
          <w:rFonts w:ascii="Times New Roman" w:hAnsi="Times New Roman"/>
          <w:sz w:val="28"/>
          <w:szCs w:val="28"/>
        </w:rPr>
        <w:t>тыс</w:t>
      </w:r>
      <w:proofErr w:type="gramStart"/>
      <w:r w:rsidRPr="00200639">
        <w:rPr>
          <w:rFonts w:ascii="Times New Roman" w:hAnsi="Times New Roman"/>
          <w:sz w:val="28"/>
          <w:szCs w:val="28"/>
        </w:rPr>
        <w:t>.ч</w:t>
      </w:r>
      <w:proofErr w:type="gramEnd"/>
      <w:r w:rsidRPr="00200639">
        <w:rPr>
          <w:rFonts w:ascii="Times New Roman" w:hAnsi="Times New Roman"/>
          <w:sz w:val="28"/>
          <w:szCs w:val="28"/>
        </w:rPr>
        <w:t>ел</w:t>
      </w:r>
      <w:proofErr w:type="spellEnd"/>
      <w:r w:rsidRPr="00200639">
        <w:rPr>
          <w:rFonts w:ascii="Times New Roman" w:hAnsi="Times New Roman"/>
          <w:sz w:val="28"/>
          <w:szCs w:val="28"/>
        </w:rPr>
        <w:t>. безработных. На данный момент ситуация стала стабилизироваться.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За 2020 года в службу занятости за предоставлением всех государственных услуг обратилось почти на 15% (или 1425 чел.) чем в прошлом году (2019 год – 9551 чел.) - 10976 граждан.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00639">
        <w:rPr>
          <w:rFonts w:ascii="Times New Roman" w:hAnsi="Times New Roman"/>
          <w:sz w:val="28"/>
          <w:szCs w:val="28"/>
        </w:rPr>
        <w:t>По состоянию на 01.01.2021 г. на учете в центре занятости состояло 1164 человека, имеющих официальный статус безработного, что в 2,3 раза больше показателя прошлого отчетного периода (512 чел.).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Уровень официально зарегистрированной безработицы </w:t>
      </w:r>
      <w:r w:rsidRPr="00200639">
        <w:rPr>
          <w:rFonts w:ascii="Times New Roman" w:hAnsi="Times New Roman"/>
          <w:snapToGrid w:val="0"/>
          <w:color w:val="000000"/>
          <w:sz w:val="28"/>
          <w:szCs w:val="28"/>
        </w:rPr>
        <w:t>по итогам прошедшего года 3,0%</w:t>
      </w:r>
      <w:r w:rsidRPr="00200639">
        <w:rPr>
          <w:rFonts w:ascii="Times New Roman" w:hAnsi="Times New Roman"/>
          <w:snapToGrid w:val="0"/>
          <w:sz w:val="28"/>
          <w:szCs w:val="28"/>
        </w:rPr>
        <w:t xml:space="preserve"> к численности населения в трудоспособном возрасте (39166 чел.).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По состоянию на отчетную дату в банке вакансий службы занятости населения заявлено работодателями 632 ед. свободных рабочих места (вакантных должностей), что на 24,1% меньше аналогичного показателя 2019 года (2019 г. – 833 ед.). Заявленная в службу занятости потребность в работниках представлена преимущественно рабочими профессиями – 73,3%.  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Коэффициент напряженности на рынке труда составляет 2,1 гр-на, ищущего работу, на каждую заявленную вакансию без учета профессионально-квалификационной структуры (2019 г. – 0,6 гр-н).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За 2020 год при содействии службы занятости: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napToGrid w:val="0"/>
          <w:color w:val="000000"/>
          <w:sz w:val="28"/>
          <w:szCs w:val="28"/>
        </w:rPr>
      </w:pPr>
      <w:r w:rsidRPr="00200639">
        <w:rPr>
          <w:rFonts w:ascii="Times New Roman" w:hAnsi="Times New Roman"/>
          <w:bCs/>
          <w:iCs/>
          <w:snapToGrid w:val="0"/>
          <w:color w:val="000000"/>
          <w:sz w:val="28"/>
          <w:szCs w:val="28"/>
        </w:rPr>
        <w:t xml:space="preserve">Банк вакансий в течение года располагал 3868 вакансиями. 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bCs/>
          <w:iCs/>
          <w:snapToGrid w:val="0"/>
          <w:sz w:val="28"/>
          <w:szCs w:val="28"/>
        </w:rPr>
        <w:t xml:space="preserve">Трудоустроено 1935 чел., </w:t>
      </w:r>
    </w:p>
    <w:p w:rsidR="001231DF" w:rsidRPr="00200639" w:rsidRDefault="001231DF" w:rsidP="001231D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Организована профессиональная подготовка, переподготовка, повышение квалификации:</w:t>
      </w:r>
    </w:p>
    <w:p w:rsidR="001231DF" w:rsidRPr="00200639" w:rsidRDefault="001231DF" w:rsidP="001231DF">
      <w:pPr>
        <w:numPr>
          <w:ilvl w:val="0"/>
          <w:numId w:val="6"/>
        </w:numPr>
        <w:tabs>
          <w:tab w:val="num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для 170 безработных граждан;</w:t>
      </w:r>
    </w:p>
    <w:p w:rsidR="001231DF" w:rsidRPr="00200639" w:rsidRDefault="001231DF" w:rsidP="001231DF">
      <w:pPr>
        <w:numPr>
          <w:ilvl w:val="0"/>
          <w:numId w:val="6"/>
        </w:numPr>
        <w:tabs>
          <w:tab w:val="num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для 3 клиентов, которым в соответствии с законодательством РФ назначена трудовая пенсия по старости;</w:t>
      </w:r>
    </w:p>
    <w:p w:rsidR="001231DF" w:rsidRPr="00200639" w:rsidRDefault="001231DF" w:rsidP="001231DF">
      <w:pPr>
        <w:numPr>
          <w:ilvl w:val="0"/>
          <w:numId w:val="6"/>
        </w:numPr>
        <w:tabs>
          <w:tab w:val="num" w:pos="284"/>
          <w:tab w:val="num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 для 4 женщин, имеющих детей дошкольного возраста, не состоящих в трудовых отношениях и обратившихся в службу занятости.</w:t>
      </w:r>
    </w:p>
    <w:p w:rsidR="001231DF" w:rsidRPr="00200639" w:rsidRDefault="001231DF" w:rsidP="001231DF">
      <w:pPr>
        <w:numPr>
          <w:ilvl w:val="0"/>
          <w:numId w:val="6"/>
        </w:numPr>
        <w:tabs>
          <w:tab w:val="num" w:pos="284"/>
          <w:tab w:val="num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  для 16 граждан в возрасте 50-ти лет и старше, а также лиц предпенсионного возраста.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Открыли собственное дело – 12 чел.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bCs/>
          <w:iCs/>
          <w:snapToGrid w:val="0"/>
          <w:sz w:val="28"/>
          <w:szCs w:val="28"/>
        </w:rPr>
        <w:t>Досрочная пенсия назначена 3 чел.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Государственные услуги по профессиональной ориентации, социальной адаптации и психологической поддержке оказаны 2461 гражданину.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Проведено 16 ярмарок вакансий.</w:t>
      </w:r>
      <w:r w:rsidRPr="0020063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lastRenderedPageBreak/>
        <w:t>Содействие в переезде в другую местность для временного трудоустройства оказано 4 чел.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  <w:tab w:val="num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13-ти работодателям предоставлены субсидии на компенсацию затрат по выплате заработной платы 152 работникам.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>Заключено 6 договоров на организацию стажировки для 32 выпускников образовательных организаций</w:t>
      </w:r>
      <w:r w:rsidRPr="00200639">
        <w:rPr>
          <w:rFonts w:ascii="Times New Roman" w:hAnsi="Times New Roman"/>
          <w:bCs/>
          <w:iCs/>
          <w:snapToGrid w:val="0"/>
          <w:sz w:val="28"/>
          <w:szCs w:val="28"/>
        </w:rPr>
        <w:t xml:space="preserve">. Трудоустроено 32 чел. </w:t>
      </w:r>
    </w:p>
    <w:p w:rsidR="001231DF" w:rsidRPr="00200639" w:rsidRDefault="001231DF" w:rsidP="001231DF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Заключено 2 договора для 2 </w:t>
      </w:r>
      <w:r w:rsidRPr="00200639">
        <w:rPr>
          <w:rFonts w:ascii="Times New Roman" w:hAnsi="Times New Roman"/>
          <w:snapToGrid w:val="0"/>
          <w:color w:val="000000"/>
          <w:sz w:val="28"/>
          <w:szCs w:val="28"/>
        </w:rPr>
        <w:t>граждан, освобожденных из учреждений, исполняющих наказание в виде лишения свободы</w:t>
      </w:r>
      <w:r w:rsidRPr="00200639">
        <w:rPr>
          <w:rFonts w:ascii="Times New Roman" w:hAnsi="Times New Roman"/>
          <w:bCs/>
          <w:iCs/>
          <w:snapToGrid w:val="0"/>
          <w:sz w:val="28"/>
          <w:szCs w:val="28"/>
        </w:rPr>
        <w:t xml:space="preserve">. Трудоустроено 2 чел. 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  <w:r w:rsidRPr="00200639">
        <w:rPr>
          <w:rFonts w:ascii="Times New Roman" w:hAnsi="Times New Roman"/>
          <w:snapToGrid w:val="0"/>
          <w:sz w:val="28"/>
          <w:szCs w:val="28"/>
        </w:rPr>
        <w:t xml:space="preserve">В 2020 году с предприятиями заключено 126 соглашений о социально-экономическом сотрудничестве, в которых предусмотрена индексация заработной платы работникам от 5 до 10%. </w:t>
      </w:r>
    </w:p>
    <w:p w:rsidR="001231DF" w:rsidRPr="00200639" w:rsidRDefault="001231DF" w:rsidP="001231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00639">
        <w:rPr>
          <w:rFonts w:ascii="Times New Roman" w:hAnsi="Times New Roman"/>
          <w:snapToGrid w:val="0"/>
          <w:sz w:val="28"/>
          <w:szCs w:val="28"/>
        </w:rPr>
        <w:t xml:space="preserve">За отчетный период по вопросу неформальной занятости с целью информирования населения проведена 31 беседа с работодателями,  организовано  выступление на телевидении  и радио, изготовлено 17 листовок (буклетов), информация 10 раз размещалась на стендах. Данная информация доводится до государственной инспекции труда и налоговых органов. </w:t>
      </w:r>
    </w:p>
    <w:p w:rsidR="00DB6EEC" w:rsidRPr="001231DF" w:rsidRDefault="00DB6EEC" w:rsidP="001231DF"/>
    <w:sectPr w:rsidR="00DB6EEC" w:rsidRPr="001231DF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239"/>
    <w:multiLevelType w:val="hybridMultilevel"/>
    <w:tmpl w:val="933E2E7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506777C"/>
    <w:multiLevelType w:val="hybridMultilevel"/>
    <w:tmpl w:val="37B6AE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033EB"/>
    <w:multiLevelType w:val="hybridMultilevel"/>
    <w:tmpl w:val="320C5C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E5B77"/>
    <w:multiLevelType w:val="hybridMultilevel"/>
    <w:tmpl w:val="77F0AAD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125402"/>
    <w:multiLevelType w:val="hybridMultilevel"/>
    <w:tmpl w:val="20A000E4"/>
    <w:lvl w:ilvl="0" w:tplc="FA08BAEA">
      <w:start w:val="3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F9064D3"/>
    <w:multiLevelType w:val="hybridMultilevel"/>
    <w:tmpl w:val="797AD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1231DF"/>
    <w:rsid w:val="00200639"/>
    <w:rsid w:val="00575314"/>
    <w:rsid w:val="00842871"/>
    <w:rsid w:val="00AB19FC"/>
    <w:rsid w:val="00B22CB1"/>
    <w:rsid w:val="00C14DED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2021-05-31T03:54:00Z</dcterms:created>
  <dcterms:modified xsi:type="dcterms:W3CDTF">2021-05-31T03:54:00Z</dcterms:modified>
</cp:coreProperties>
</file>