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ED" w:rsidRPr="009402ED" w:rsidRDefault="009402ED" w:rsidP="009402ED">
      <w:pPr>
        <w:tabs>
          <w:tab w:val="left" w:pos="567"/>
        </w:tabs>
        <w:jc w:val="both"/>
        <w:rPr>
          <w:b/>
          <w:sz w:val="28"/>
          <w:szCs w:val="28"/>
        </w:rPr>
      </w:pPr>
      <w:r w:rsidRPr="009402ED">
        <w:rPr>
          <w:b/>
          <w:sz w:val="28"/>
          <w:szCs w:val="28"/>
        </w:rPr>
        <w:t>ГУБКИНСКИЙ</w:t>
      </w:r>
    </w:p>
    <w:p w:rsidR="00F836BB" w:rsidRPr="009402ED" w:rsidRDefault="00F836BB" w:rsidP="009402ED">
      <w:pPr>
        <w:tabs>
          <w:tab w:val="left" w:pos="567"/>
        </w:tabs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Основным направлением деятельности Управления является реализация на территории муниципального образования город </w:t>
      </w:r>
      <w:proofErr w:type="spellStart"/>
      <w:r w:rsidRPr="009402ED">
        <w:rPr>
          <w:sz w:val="28"/>
          <w:szCs w:val="28"/>
        </w:rPr>
        <w:t>Губкинский</w:t>
      </w:r>
      <w:proofErr w:type="spellEnd"/>
      <w:r w:rsidRPr="009402ED">
        <w:rPr>
          <w:sz w:val="28"/>
          <w:szCs w:val="28"/>
        </w:rPr>
        <w:t xml:space="preserve"> единой государственной политики в области физической культуры и спорта, создание условий для развития массовой физической культуры и спорта в городе </w:t>
      </w:r>
      <w:proofErr w:type="spellStart"/>
      <w:r w:rsidRPr="009402ED">
        <w:rPr>
          <w:sz w:val="28"/>
          <w:szCs w:val="28"/>
        </w:rPr>
        <w:t>Губкинском</w:t>
      </w:r>
      <w:proofErr w:type="spellEnd"/>
      <w:r w:rsidRPr="009402ED">
        <w:rPr>
          <w:sz w:val="28"/>
          <w:szCs w:val="28"/>
        </w:rPr>
        <w:t>.</w:t>
      </w:r>
    </w:p>
    <w:p w:rsidR="00F836BB" w:rsidRPr="009402ED" w:rsidRDefault="00F836BB" w:rsidP="009402ED">
      <w:pPr>
        <w:jc w:val="both"/>
        <w:rPr>
          <w:bCs/>
          <w:sz w:val="28"/>
          <w:szCs w:val="28"/>
        </w:rPr>
      </w:pPr>
      <w:proofErr w:type="gramStart"/>
      <w:r w:rsidRPr="009402ED">
        <w:rPr>
          <w:bCs/>
          <w:sz w:val="28"/>
          <w:szCs w:val="28"/>
        </w:rPr>
        <w:t xml:space="preserve">На территории муниципального образования город </w:t>
      </w:r>
      <w:proofErr w:type="spellStart"/>
      <w:r w:rsidRPr="009402ED">
        <w:rPr>
          <w:bCs/>
          <w:sz w:val="28"/>
          <w:szCs w:val="28"/>
        </w:rPr>
        <w:t>Губкинский</w:t>
      </w:r>
      <w:proofErr w:type="spellEnd"/>
      <w:r w:rsidRPr="009402ED">
        <w:rPr>
          <w:bCs/>
          <w:sz w:val="28"/>
          <w:szCs w:val="28"/>
        </w:rPr>
        <w:t xml:space="preserve"> зарегистрированы и функционируют Региональная общественная организация «Федерация пулевой и стендовой стрельбы ЯНАО», Федерация стрелкового спорта города, Федерация плавания ЯНАО, Общественная организация «Клуб мастеров спортивного плавания «Ямал» при Федерации плавания ЯНАО, Федерация скалолазания ЯНАО, Федерация хоккея города </w:t>
      </w:r>
      <w:proofErr w:type="spellStart"/>
      <w:r w:rsidRPr="009402ED">
        <w:rPr>
          <w:bCs/>
          <w:sz w:val="28"/>
          <w:szCs w:val="28"/>
        </w:rPr>
        <w:t>Губкинского</w:t>
      </w:r>
      <w:proofErr w:type="spellEnd"/>
      <w:r w:rsidRPr="009402ED">
        <w:rPr>
          <w:bCs/>
          <w:sz w:val="28"/>
          <w:szCs w:val="28"/>
        </w:rPr>
        <w:t xml:space="preserve">, Местная общественная организация «Федерация бокса города </w:t>
      </w:r>
      <w:proofErr w:type="spellStart"/>
      <w:r w:rsidRPr="009402ED">
        <w:rPr>
          <w:bCs/>
          <w:sz w:val="28"/>
          <w:szCs w:val="28"/>
        </w:rPr>
        <w:t>Губкинского</w:t>
      </w:r>
      <w:proofErr w:type="spellEnd"/>
      <w:r w:rsidRPr="009402ED">
        <w:rPr>
          <w:bCs/>
          <w:sz w:val="28"/>
          <w:szCs w:val="28"/>
        </w:rPr>
        <w:t>», Региональная общественная организация «Федерация смешанного боевого единоборства (ММА) ЯНАО», АНО</w:t>
      </w:r>
      <w:proofErr w:type="gramEnd"/>
      <w:r w:rsidRPr="009402ED">
        <w:rPr>
          <w:bCs/>
          <w:sz w:val="28"/>
          <w:szCs w:val="28"/>
        </w:rPr>
        <w:t xml:space="preserve"> «Волейбольный клуб «</w:t>
      </w:r>
      <w:proofErr w:type="spellStart"/>
      <w:r w:rsidRPr="009402ED">
        <w:rPr>
          <w:bCs/>
          <w:sz w:val="28"/>
          <w:szCs w:val="28"/>
        </w:rPr>
        <w:t>Пуровчанка</w:t>
      </w:r>
      <w:proofErr w:type="spellEnd"/>
      <w:r w:rsidRPr="009402ED">
        <w:rPr>
          <w:bCs/>
          <w:sz w:val="28"/>
          <w:szCs w:val="28"/>
        </w:rPr>
        <w:t>».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bCs/>
          <w:sz w:val="28"/>
          <w:szCs w:val="28"/>
        </w:rPr>
        <w:t>В</w:t>
      </w:r>
      <w:r w:rsidRPr="009402ED">
        <w:rPr>
          <w:sz w:val="28"/>
          <w:szCs w:val="28"/>
        </w:rPr>
        <w:t xml:space="preserve"> 30-ти (в 2014 г. – 28, в 2013 г. - 28) учреждениях, предприятиях и организациях города организована физкультурно-оздоровительная работа, в том числе 7 коллективов общеобразовательных учреждений; 7 дошкольных образовательных учреждений; 1 учреждение дополнительного образования детей - МБУ ДО ДЮСШ «Олимп»; 1 учреждение высшего профессионального образования – филиал ФГБОУ ВПО «Удмуртский государственный университет»; 2 учреждения среднего профессионального образования - филиал ФГБОУ ВПО «Удмуртский государственный университет», ГБОУ СПО ЯНАО «</w:t>
      </w:r>
      <w:proofErr w:type="spellStart"/>
      <w:r w:rsidRPr="009402ED">
        <w:rPr>
          <w:sz w:val="28"/>
          <w:szCs w:val="28"/>
        </w:rPr>
        <w:t>Муравленковский</w:t>
      </w:r>
      <w:proofErr w:type="spellEnd"/>
      <w:r w:rsidRPr="009402ED">
        <w:rPr>
          <w:sz w:val="28"/>
          <w:szCs w:val="28"/>
        </w:rPr>
        <w:t xml:space="preserve"> многопрофильный колледж» в </w:t>
      </w:r>
      <w:proofErr w:type="spellStart"/>
      <w:r w:rsidRPr="009402ED">
        <w:rPr>
          <w:sz w:val="28"/>
          <w:szCs w:val="28"/>
        </w:rPr>
        <w:t>г</w:t>
      </w:r>
      <w:proofErr w:type="gramStart"/>
      <w:r w:rsidRPr="009402ED">
        <w:rPr>
          <w:sz w:val="28"/>
          <w:szCs w:val="28"/>
        </w:rPr>
        <w:t>.Г</w:t>
      </w:r>
      <w:proofErr w:type="gramEnd"/>
      <w:r w:rsidRPr="009402ED">
        <w:rPr>
          <w:sz w:val="28"/>
          <w:szCs w:val="28"/>
        </w:rPr>
        <w:t>убкинском</w:t>
      </w:r>
      <w:proofErr w:type="spellEnd"/>
      <w:r w:rsidRPr="009402ED">
        <w:rPr>
          <w:sz w:val="28"/>
          <w:szCs w:val="28"/>
        </w:rPr>
        <w:t>; 9 коллективов предприятий, учреждений, организаций города; 3 коллектив учреждений и организаций при спортивных сооружениях.</w:t>
      </w:r>
    </w:p>
    <w:p w:rsidR="00F836BB" w:rsidRPr="009402ED" w:rsidRDefault="00F836BB" w:rsidP="009402ED">
      <w:pPr>
        <w:pStyle w:val="2"/>
        <w:ind w:firstLine="0"/>
        <w:rPr>
          <w:szCs w:val="28"/>
        </w:rPr>
      </w:pPr>
      <w:r w:rsidRPr="009402ED">
        <w:rPr>
          <w:szCs w:val="28"/>
        </w:rPr>
        <w:t>Численность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штатных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работников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физкультуры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составляет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142</w:t>
      </w:r>
      <w:r w:rsidR="00166DDA">
        <w:rPr>
          <w:szCs w:val="28"/>
        </w:rPr>
        <w:t xml:space="preserve"> </w:t>
      </w:r>
      <w:r w:rsidRPr="009402ED">
        <w:rPr>
          <w:szCs w:val="28"/>
        </w:rPr>
        <w:t xml:space="preserve">человека, из них - 112 чел. - специалисты с высшим профессиональным образованием. Из общей численности штатных работников: а) 40 специалиста в возрасте до 30 лет, 96 специалистов в возрасте от 31 года до 60 лет, 6 специалистов в возрасте старше 60 лет; б) женщин – 52 чел. Вакантных ставок всего 17 (в 2014 году – 12). </w:t>
      </w:r>
    </w:p>
    <w:p w:rsidR="00F836BB" w:rsidRPr="009402ED" w:rsidRDefault="00F836BB" w:rsidP="009402ED">
      <w:pPr>
        <w:pStyle w:val="2"/>
        <w:ind w:firstLine="0"/>
        <w:rPr>
          <w:szCs w:val="28"/>
        </w:rPr>
      </w:pPr>
      <w:r w:rsidRPr="009402ED">
        <w:rPr>
          <w:szCs w:val="28"/>
        </w:rPr>
        <w:t>Тренерско-преподавательским составом при нормативе 70 чел., город фактически обеспечен на 49,73 % - 35 чел. (в 2014 году: 42,55 % - 29 чел. при нормативе 68 чел.; в 2013 году: 45,41% - 31 чел. при нормативе 68 чел.)</w:t>
      </w:r>
      <w:r w:rsidR="00166DDA">
        <w:rPr>
          <w:szCs w:val="28"/>
        </w:rPr>
        <w:t>.</w:t>
      </w:r>
    </w:p>
    <w:p w:rsidR="00F836BB" w:rsidRPr="009402ED" w:rsidRDefault="00F836BB" w:rsidP="00166DDA">
      <w:pPr>
        <w:pStyle w:val="2"/>
        <w:ind w:firstLine="0"/>
        <w:rPr>
          <w:szCs w:val="28"/>
        </w:rPr>
      </w:pPr>
      <w:r w:rsidRPr="009402ED">
        <w:rPr>
          <w:szCs w:val="28"/>
        </w:rPr>
        <w:t>Численность занимающихся физической культурой и спортом в спортивных секциях, группах физкультурно-оздоровительной направленности составляет 10558 чел. или 39,0 % от численности населения города – 27070 чел. (в 2014 г. – 10549 чел./40,24%/26214 чел.; в 2013 г. – 10303 чел./ 39,24%/26254 чел.). В том числе женщин – 3603 чел. (в 2014 г. – 3958 чел.; в 2013 г . - 3671 чел.), что составляет 34,1 % от общей численности занимающихся.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При этом увеличилась численность занимающихся на платной основе – 1401 чел. (в 2014 г. – 1081 чел.; в 2013 г. – 755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В городе культивируется 25 видов спорта. </w:t>
      </w:r>
      <w:proofErr w:type="gramStart"/>
      <w:r w:rsidRPr="009402ED">
        <w:rPr>
          <w:sz w:val="28"/>
          <w:szCs w:val="28"/>
        </w:rPr>
        <w:t>Популярными видами традиционно остаются – плавание, баскетбол, волейбол, настольный теннис, шахматы, лыжные гонки, футбол, пулевая стрельба и др.</w:t>
      </w:r>
      <w:proofErr w:type="gramEnd"/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lastRenderedPageBreak/>
        <w:t>Всего к услугам жителей города имеется 69 (в 2014 году – 65) спортивных сооружения (в том числе за чертой города – 5 ед.), единовременная пропускная способность которых составляет 2264 чел. (в 2014 году - 2084 чел.).</w:t>
      </w:r>
    </w:p>
    <w:p w:rsidR="00F836BB" w:rsidRPr="009402ED" w:rsidRDefault="00166DDA" w:rsidP="00940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6BB" w:rsidRPr="009402ED">
        <w:rPr>
          <w:sz w:val="28"/>
          <w:szCs w:val="28"/>
        </w:rPr>
        <w:t>Из общего числа спортсооружений: 41 спортивный зал;</w:t>
      </w:r>
      <w:r>
        <w:rPr>
          <w:sz w:val="28"/>
          <w:szCs w:val="28"/>
        </w:rPr>
        <w:t xml:space="preserve"> </w:t>
      </w:r>
      <w:r w:rsidR="00F836BB" w:rsidRPr="009402ED">
        <w:rPr>
          <w:sz w:val="28"/>
          <w:szCs w:val="28"/>
        </w:rPr>
        <w:t>4 плавательных бассейна размером более 6*10 м; 4 тира (галереи – 2 * 10 м. – 25 м. – 50 м.); 1 стрельбище; 1 лыжная база; 16 плоскостных сооружений;</w:t>
      </w:r>
      <w:r>
        <w:rPr>
          <w:sz w:val="28"/>
          <w:szCs w:val="28"/>
        </w:rPr>
        <w:t xml:space="preserve"> </w:t>
      </w:r>
      <w:r w:rsidR="00F836BB" w:rsidRPr="009402ED">
        <w:rPr>
          <w:sz w:val="28"/>
          <w:szCs w:val="28"/>
        </w:rPr>
        <w:t>2 других спортивных сооружения (</w:t>
      </w:r>
      <w:proofErr w:type="spellStart"/>
      <w:r w:rsidR="00F836BB" w:rsidRPr="009402ED">
        <w:rPr>
          <w:sz w:val="28"/>
          <w:szCs w:val="28"/>
        </w:rPr>
        <w:t>боулдеринговый</w:t>
      </w:r>
      <w:proofErr w:type="spellEnd"/>
      <w:r w:rsidR="00F836BB" w:rsidRPr="009402ED">
        <w:rPr>
          <w:sz w:val="28"/>
          <w:szCs w:val="28"/>
        </w:rPr>
        <w:t xml:space="preserve"> зал, шахматный клуб).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Общая площадь спортивных сооружений составляет 31314,48 м</w:t>
      </w:r>
      <w:proofErr w:type="gramStart"/>
      <w:r w:rsidRPr="009402ED">
        <w:rPr>
          <w:sz w:val="28"/>
          <w:szCs w:val="28"/>
          <w:vertAlign w:val="superscript"/>
        </w:rPr>
        <w:t>2</w:t>
      </w:r>
      <w:proofErr w:type="gramEnd"/>
      <w:r w:rsidRPr="009402ED">
        <w:rPr>
          <w:sz w:val="28"/>
          <w:szCs w:val="28"/>
          <w:vertAlign w:val="superscript"/>
        </w:rPr>
        <w:t xml:space="preserve"> </w:t>
      </w:r>
      <w:r w:rsidRPr="009402ED">
        <w:rPr>
          <w:sz w:val="28"/>
          <w:szCs w:val="28"/>
        </w:rPr>
        <w:t>(в 2014 г. – 28656,6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; в 2013 г. - 28 676,6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), в том числе спортивных залов – 9224,5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 xml:space="preserve"> (в 2014 г. – 7424,1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; в 2013 г. – 7444,1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);</w:t>
      </w:r>
      <w:r w:rsidRPr="009402ED">
        <w:rPr>
          <w:sz w:val="28"/>
          <w:szCs w:val="28"/>
          <w:vertAlign w:val="superscript"/>
        </w:rPr>
        <w:t xml:space="preserve"> </w:t>
      </w:r>
      <w:r w:rsidRPr="009402ED">
        <w:rPr>
          <w:sz w:val="28"/>
          <w:szCs w:val="28"/>
        </w:rPr>
        <w:t>плоскостных сооружений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>- 16108,6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 xml:space="preserve"> (в 2014 г. – 16108,6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; в 2013 г . –</w:t>
      </w:r>
      <w:r w:rsidRPr="009402ED">
        <w:rPr>
          <w:sz w:val="28"/>
          <w:szCs w:val="28"/>
          <w:vertAlign w:val="superscript"/>
        </w:rPr>
        <w:t xml:space="preserve"> </w:t>
      </w:r>
      <w:r w:rsidRPr="009402ED">
        <w:rPr>
          <w:sz w:val="28"/>
          <w:szCs w:val="28"/>
        </w:rPr>
        <w:t>16108,6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); площадь зеркала воды плавательных бассейнов – 1500,8 м</w:t>
      </w:r>
      <w:proofErr w:type="gramStart"/>
      <w:r w:rsidRPr="009402ED">
        <w:rPr>
          <w:sz w:val="28"/>
          <w:szCs w:val="28"/>
          <w:vertAlign w:val="superscript"/>
        </w:rPr>
        <w:t>2</w:t>
      </w:r>
      <w:proofErr w:type="gramEnd"/>
      <w:r w:rsidR="00166DDA">
        <w:rPr>
          <w:sz w:val="28"/>
          <w:szCs w:val="28"/>
          <w:vertAlign w:val="superscript"/>
        </w:rPr>
        <w:t xml:space="preserve"> </w:t>
      </w:r>
      <w:r w:rsidRPr="009402ED">
        <w:rPr>
          <w:sz w:val="28"/>
          <w:szCs w:val="28"/>
        </w:rPr>
        <w:t>(в 2014 г. – 400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>; в 2013 г. – 400,0 м</w:t>
      </w:r>
      <w:r w:rsidRPr="009402ED">
        <w:rPr>
          <w:sz w:val="28"/>
          <w:szCs w:val="28"/>
          <w:vertAlign w:val="superscript"/>
        </w:rPr>
        <w:t>2</w:t>
      </w:r>
      <w:r w:rsidRPr="009402ED">
        <w:rPr>
          <w:sz w:val="28"/>
          <w:szCs w:val="28"/>
        </w:rPr>
        <w:t xml:space="preserve">). 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Всего город (при численности населения города 27070 чел.) обеспечен спортивными сооружениями на 44,02 % (в 2014 г. - 41,84%; в 2013 г. - 41,58%) согласно утвержденным нормативам, в том числе спортивными залами на 98,13 % (в 2014 г. - 81,54 %; в 2013 г. – 81,63 %), плоскостными сооружениями на 30,52 % (в 2014 г. - 31,52 %; в 2013 г. – 31,47 %), бассейнами на 74,7 % (в 2014 г. – 20,56 %;</w:t>
      </w:r>
      <w:proofErr w:type="gramEnd"/>
      <w:r w:rsidRPr="009402ED">
        <w:rPr>
          <w:sz w:val="28"/>
          <w:szCs w:val="28"/>
        </w:rPr>
        <w:t xml:space="preserve"> в 2013 г. – 20,53 %).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sz w:val="28"/>
          <w:szCs w:val="28"/>
        </w:rPr>
        <w:t xml:space="preserve">В 2015 году всего в городе проведено 202 спортивно-массовых мероприятия (в 2014 г. – 152; в 2013 г . - 160), в которых приняло участие </w:t>
      </w:r>
      <w:r w:rsidRPr="009402ED">
        <w:rPr>
          <w:color w:val="000000" w:themeColor="text1"/>
          <w:sz w:val="28"/>
          <w:szCs w:val="28"/>
        </w:rPr>
        <w:t xml:space="preserve">16740 человек (2014 г. – 11 949 чел.; в 2013 г. – 16 697 чел.) это 61,8 % от численности населения города. 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sz w:val="28"/>
          <w:szCs w:val="28"/>
        </w:rPr>
        <w:t>Традиционно проведены соревнования/мероприятия: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color w:val="000000" w:themeColor="text1"/>
          <w:sz w:val="28"/>
          <w:szCs w:val="28"/>
        </w:rPr>
        <w:t>- Президентские состязания школьников 1774 чел. (2013 г. – 3022 чел.; 2014 г. – 2406 чел.);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color w:val="000000" w:themeColor="text1"/>
          <w:sz w:val="28"/>
          <w:szCs w:val="28"/>
        </w:rPr>
        <w:t xml:space="preserve">- Президентские игры школьников 1454 чел. (в 2013 г. – 1737 чел.; 2014 г. – 856 чел.); 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color w:val="000000" w:themeColor="text1"/>
          <w:sz w:val="28"/>
          <w:szCs w:val="28"/>
        </w:rPr>
        <w:t>- Спартакиада школьников 2000 чел. (2013 г. – 1700 чел.; 2014 г. – 1183 чел.);</w:t>
      </w:r>
    </w:p>
    <w:p w:rsidR="00F836BB" w:rsidRPr="009402ED" w:rsidRDefault="00F836BB" w:rsidP="009402ED">
      <w:pPr>
        <w:jc w:val="both"/>
        <w:rPr>
          <w:color w:val="000000" w:themeColor="text1"/>
          <w:sz w:val="28"/>
          <w:szCs w:val="28"/>
        </w:rPr>
      </w:pPr>
      <w:r w:rsidRPr="009402ED">
        <w:rPr>
          <w:color w:val="000000" w:themeColor="text1"/>
          <w:sz w:val="28"/>
          <w:szCs w:val="28"/>
        </w:rPr>
        <w:t>- Спартакиада допризывной молодежи 40 чел. (2013 г. – 1500 чел.; 2014 г. – 53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- Спартакиада города по различным видам спорта (9 видов), приняло участие 353 чел. (2013 г. - 411 чел., 2014 г. - 350 чел.);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- Спартакиада руководителей города (7 видов спорта), приняло участие 242 чел. (2013 г. – 199 чел., 2014 г. – 220 чел.);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- Спартакиада дошкольников, приняло участие 7 дошкольных учреждений, всего 350 чел. (2013 г. – 324 чел., 2014 г. – 392 чел.) и др.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Проведено 83</w:t>
      </w:r>
      <w:r w:rsidRPr="009402ED">
        <w:rPr>
          <w:b/>
          <w:color w:val="F824F8"/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спортивно-массовых мероприятий, посвященных знаменательным датам, в которых приняло участие 5055 чел. («Декада спорта», «День защитника Отечества», «Международный женский день 8 Марта», «1 Мая», «День Победы советского народа в ВОВ 1941-45 гг.», «День защиты детей», «День независимости», «День молодежи России», «День физкультурника», «День города </w:t>
      </w:r>
      <w:proofErr w:type="spellStart"/>
      <w:r w:rsidRPr="009402ED">
        <w:rPr>
          <w:sz w:val="28"/>
          <w:szCs w:val="28"/>
        </w:rPr>
        <w:t>Губкинского</w:t>
      </w:r>
      <w:proofErr w:type="spellEnd"/>
      <w:r w:rsidRPr="009402ED">
        <w:rPr>
          <w:sz w:val="28"/>
          <w:szCs w:val="28"/>
        </w:rPr>
        <w:t>», «День народного единства», «Новый год» и др.).</w:t>
      </w:r>
      <w:proofErr w:type="gramEnd"/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В 2015 году на территории муниципального образования город </w:t>
      </w:r>
      <w:proofErr w:type="spellStart"/>
      <w:r w:rsidRPr="009402ED">
        <w:rPr>
          <w:sz w:val="28"/>
          <w:szCs w:val="28"/>
        </w:rPr>
        <w:t>Губкинский</w:t>
      </w:r>
      <w:proofErr w:type="spellEnd"/>
      <w:r w:rsidRPr="009402ED">
        <w:rPr>
          <w:sz w:val="28"/>
          <w:szCs w:val="28"/>
        </w:rPr>
        <w:t xml:space="preserve"> проведены следующие мероприятия окружного и российского уровней: 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Открытый Кубок ЯНАО по восточному боевому единоборству (дисциплина </w:t>
      </w:r>
      <w:proofErr w:type="spellStart"/>
      <w:r w:rsidRPr="009402ED">
        <w:rPr>
          <w:sz w:val="28"/>
          <w:szCs w:val="28"/>
        </w:rPr>
        <w:t>сётокан</w:t>
      </w:r>
      <w:proofErr w:type="spellEnd"/>
      <w:r w:rsidRPr="009402ED">
        <w:rPr>
          <w:sz w:val="28"/>
          <w:szCs w:val="28"/>
        </w:rPr>
        <w:t>) – 01.02.2015 г. (115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Первенство ЯНАО по боксу среди юношей и девушек 1999-2000, 2001-2002 гг.р. – 12-15.02.2015 г. (50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lastRenderedPageBreak/>
        <w:t>Соревнования по пулевой стрельбе в зачет Спартакиады учащихся ЯНАО – 10-14.03.2015 г. (61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Первенство ЯНАО по шахматам «Белая ладья» среди команд общеобразовательных учреждений – 10-14.03.2015 г. (25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Отборочный чемпионат ЯНАО по смешанному боевому единоборству (ММА), посвященный Дню Победы – 13-15.03.2015 г. (19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Первенство ЯНАО по лыжным гонкам среди детско-юношеских спортивных школ – 17-22.03.2015 г. (85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Соревнования среди семейных команд в зачет Спартакиады трудящихся ЯНАО (группы</w:t>
      </w:r>
      <w:proofErr w:type="gramStart"/>
      <w:r w:rsidRPr="009402ED">
        <w:rPr>
          <w:sz w:val="28"/>
          <w:szCs w:val="28"/>
        </w:rPr>
        <w:t xml:space="preserve"> А</w:t>
      </w:r>
      <w:proofErr w:type="gramEnd"/>
      <w:r w:rsidRPr="009402ED">
        <w:rPr>
          <w:sz w:val="28"/>
          <w:szCs w:val="28"/>
        </w:rPr>
        <w:t xml:space="preserve"> и Б) – 23-26.03.2015 г. (36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Личный чемпионат ЯНАО по пулевой стрельбе – 05-07.06.2015 г. (30 чел.);</w:t>
      </w:r>
    </w:p>
    <w:p w:rsidR="00F836BB" w:rsidRPr="009402ED" w:rsidRDefault="00F836BB" w:rsidP="009402ED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Всероссийские соревнования по пулевой стрельбе и соревнования на приз региональной общественной организации «Федерация пулевой и стендовой стрельбы ЯНАО» - 12-17.11.2015 г. (</w:t>
      </w:r>
      <w:r w:rsidRPr="009402ED">
        <w:rPr>
          <w:color w:val="000000" w:themeColor="text1"/>
          <w:sz w:val="28"/>
          <w:szCs w:val="28"/>
        </w:rPr>
        <w:t>126</w:t>
      </w:r>
      <w:r w:rsidRPr="009402ED">
        <w:rPr>
          <w:sz w:val="28"/>
          <w:szCs w:val="28"/>
        </w:rPr>
        <w:t xml:space="preserve">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spellStart"/>
      <w:r w:rsidRPr="009402ED">
        <w:rPr>
          <w:sz w:val="28"/>
          <w:szCs w:val="28"/>
        </w:rPr>
        <w:t>Губкинские</w:t>
      </w:r>
      <w:proofErr w:type="spellEnd"/>
      <w:r w:rsidRPr="009402ED">
        <w:rPr>
          <w:sz w:val="28"/>
          <w:szCs w:val="28"/>
        </w:rPr>
        <w:t xml:space="preserve"> спортсмены приняли участие в 128-ми мероприятиях (в 2014 г. – 78-ми соревнованиях, в 2013 г. – 78 мероприятиях) различного уровня (выездные) с общей численностью участников 926</w:t>
      </w:r>
      <w:r w:rsidRPr="009402ED">
        <w:rPr>
          <w:b/>
          <w:color w:val="F824F8"/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чел. (в 2014 г. – 483 чел., в 2014 г. - </w:t>
      </w:r>
      <w:r w:rsidRPr="009402ED">
        <w:rPr>
          <w:color w:val="000000" w:themeColor="text1"/>
          <w:sz w:val="28"/>
          <w:szCs w:val="28"/>
        </w:rPr>
        <w:t>423</w:t>
      </w:r>
      <w:r w:rsidRPr="009402ED">
        <w:rPr>
          <w:sz w:val="28"/>
          <w:szCs w:val="28"/>
        </w:rPr>
        <w:t xml:space="preserve"> чел.) за пределами МО г. </w:t>
      </w:r>
      <w:proofErr w:type="spellStart"/>
      <w:r w:rsidRPr="009402ED">
        <w:rPr>
          <w:sz w:val="28"/>
          <w:szCs w:val="28"/>
        </w:rPr>
        <w:t>Губкинский</w:t>
      </w:r>
      <w:proofErr w:type="spellEnd"/>
      <w:r w:rsidRPr="009402ED">
        <w:rPr>
          <w:sz w:val="28"/>
          <w:szCs w:val="28"/>
        </w:rPr>
        <w:t>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848"/>
        <w:gridCol w:w="1909"/>
        <w:gridCol w:w="1854"/>
        <w:gridCol w:w="2956"/>
      </w:tblGrid>
      <w:tr w:rsidR="00F836BB" w:rsidRPr="009402ED" w:rsidTr="00166DDA">
        <w:trPr>
          <w:trHeight w:val="226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Год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Медали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Всего медалей</w:t>
            </w:r>
          </w:p>
        </w:tc>
      </w:tr>
      <w:tr w:rsidR="00F836BB" w:rsidRPr="009402ED" w:rsidTr="00166DDA">
        <w:trPr>
          <w:trHeight w:val="104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золото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серебро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бронза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</w:p>
        </w:tc>
      </w:tr>
      <w:tr w:rsidR="00F836BB" w:rsidRPr="009402ED" w:rsidTr="00166DDA">
        <w:trPr>
          <w:trHeight w:val="2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Мир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18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</w:t>
            </w:r>
          </w:p>
        </w:tc>
      </w:tr>
      <w:tr w:rsidR="00F836BB" w:rsidRPr="009402ED" w:rsidTr="00166DDA">
        <w:trPr>
          <w:trHeight w:val="2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Россия</w:t>
            </w:r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24</w:t>
            </w:r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13</w:t>
            </w:r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36</w:t>
            </w:r>
          </w:p>
        </w:tc>
      </w:tr>
      <w:tr w:rsidR="00F836BB" w:rsidRPr="009402ED" w:rsidTr="00166DDA">
        <w:trPr>
          <w:trHeight w:val="2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402ED">
              <w:rPr>
                <w:b/>
                <w:sz w:val="28"/>
                <w:szCs w:val="28"/>
              </w:rPr>
              <w:t>УрФО</w:t>
            </w:r>
            <w:proofErr w:type="spellEnd"/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15</w:t>
            </w:r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</w:t>
            </w:r>
          </w:p>
        </w:tc>
      </w:tr>
      <w:tr w:rsidR="00F836BB" w:rsidRPr="009402ED" w:rsidTr="00166DDA">
        <w:trPr>
          <w:trHeight w:val="22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7</w:t>
            </w:r>
          </w:p>
        </w:tc>
      </w:tr>
      <w:tr w:rsidR="00F836BB" w:rsidRPr="009402ED" w:rsidTr="00166DDA">
        <w:trPr>
          <w:trHeight w:val="23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402ED">
              <w:rPr>
                <w:b/>
                <w:sz w:val="28"/>
                <w:szCs w:val="28"/>
              </w:rPr>
              <w:t>Тюм</w:t>
            </w:r>
            <w:proofErr w:type="spellEnd"/>
            <w:r w:rsidRPr="009402ED">
              <w:rPr>
                <w:b/>
                <w:sz w:val="28"/>
                <w:szCs w:val="28"/>
              </w:rPr>
              <w:t>. обл.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11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33</w:t>
            </w:r>
          </w:p>
        </w:tc>
      </w:tr>
      <w:tr w:rsidR="00F836BB" w:rsidRPr="009402ED" w:rsidTr="00166DDA">
        <w:trPr>
          <w:trHeight w:val="23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ЯНАО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82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77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214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2014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54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34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40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sz w:val="28"/>
                <w:szCs w:val="28"/>
              </w:rPr>
            </w:pPr>
            <w:r w:rsidRPr="009402ED">
              <w:rPr>
                <w:sz w:val="28"/>
                <w:szCs w:val="28"/>
              </w:rPr>
              <w:t>128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331</w:t>
            </w:r>
          </w:p>
        </w:tc>
      </w:tr>
      <w:tr w:rsidR="00F836BB" w:rsidRPr="009402ED" w:rsidTr="00166DDA">
        <w:trPr>
          <w:trHeight w:val="236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9402ED">
            <w:pPr>
              <w:jc w:val="both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Всего в 2015 году: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836BB" w:rsidRPr="009402ED" w:rsidRDefault="00F836BB" w:rsidP="00166DDA">
            <w:pPr>
              <w:jc w:val="center"/>
              <w:rPr>
                <w:b/>
                <w:sz w:val="28"/>
                <w:szCs w:val="28"/>
              </w:rPr>
            </w:pPr>
            <w:r w:rsidRPr="009402ED">
              <w:rPr>
                <w:b/>
                <w:sz w:val="28"/>
                <w:szCs w:val="28"/>
              </w:rPr>
              <w:t>409</w:t>
            </w:r>
          </w:p>
        </w:tc>
      </w:tr>
    </w:tbl>
    <w:p w:rsidR="00F836BB" w:rsidRPr="009402ED" w:rsidRDefault="00F836BB" w:rsidP="009402ED">
      <w:pPr>
        <w:pStyle w:val="3"/>
        <w:ind w:firstLine="0"/>
        <w:rPr>
          <w:szCs w:val="28"/>
        </w:rPr>
      </w:pPr>
      <w:r w:rsidRPr="009402ED">
        <w:rPr>
          <w:szCs w:val="28"/>
        </w:rPr>
        <w:t xml:space="preserve">В 2015 г. тренерско-преподавательским составом и Управлением уделялось внимание качественной подготовке к участию сборных команд города, отдельных спортсменов в соревнованиях вышестоящих уровней. </w:t>
      </w:r>
      <w:proofErr w:type="gramStart"/>
      <w:r w:rsidRPr="009402ED">
        <w:rPr>
          <w:szCs w:val="28"/>
        </w:rPr>
        <w:t xml:space="preserve">Для ведущих спортсменов </w:t>
      </w:r>
      <w:r w:rsidRPr="009402ED">
        <w:rPr>
          <w:szCs w:val="28"/>
        </w:rPr>
        <w:lastRenderedPageBreak/>
        <w:t xml:space="preserve">города были организованы тренировочные мероприятия за пределами ЯНАО - 13 ТМ с численностью 122 чел. (в 2014 г. – 11 мероприятий с численностью 44 чел., в 2013 г. – 11 ТМ с общей численностью 57 чел.), в том числе ДЮСШ «Олимп» </w:t>
      </w:r>
      <w:r w:rsidRPr="009402ED">
        <w:rPr>
          <w:color w:val="000000" w:themeColor="text1"/>
          <w:szCs w:val="28"/>
        </w:rPr>
        <w:t>7</w:t>
      </w:r>
      <w:r w:rsidRPr="009402ED">
        <w:rPr>
          <w:szCs w:val="28"/>
        </w:rPr>
        <w:t xml:space="preserve"> ТМ с численностью участников</w:t>
      </w:r>
      <w:r w:rsidR="00166DDA">
        <w:rPr>
          <w:szCs w:val="28"/>
        </w:rPr>
        <w:t xml:space="preserve"> </w:t>
      </w:r>
      <w:r w:rsidRPr="009402ED">
        <w:rPr>
          <w:color w:val="000000" w:themeColor="text1"/>
          <w:szCs w:val="28"/>
        </w:rPr>
        <w:t xml:space="preserve">87 </w:t>
      </w:r>
      <w:r w:rsidRPr="009402ED">
        <w:rPr>
          <w:szCs w:val="28"/>
        </w:rPr>
        <w:t>человек</w:t>
      </w:r>
      <w:r w:rsidR="00166DDA">
        <w:rPr>
          <w:szCs w:val="28"/>
        </w:rPr>
        <w:t xml:space="preserve"> </w:t>
      </w:r>
      <w:r w:rsidRPr="009402ED">
        <w:rPr>
          <w:szCs w:val="28"/>
        </w:rPr>
        <w:t>(2014 г. - 10 мероприятий - 137 чел.; в 2013 г. – 11 мероприятий – 126</w:t>
      </w:r>
      <w:proofErr w:type="gramEnd"/>
      <w:r w:rsidRPr="009402ED">
        <w:rPr>
          <w:szCs w:val="28"/>
        </w:rPr>
        <w:t xml:space="preserve">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В соревнованиях окружной Спартакиады учащихся городов ЯНАО 2015 года </w:t>
      </w:r>
      <w:proofErr w:type="spellStart"/>
      <w:r w:rsidRPr="009402ED">
        <w:rPr>
          <w:sz w:val="28"/>
          <w:szCs w:val="28"/>
        </w:rPr>
        <w:t>губкинские</w:t>
      </w:r>
      <w:proofErr w:type="spellEnd"/>
      <w:r w:rsidRPr="009402ED">
        <w:rPr>
          <w:sz w:val="28"/>
          <w:szCs w:val="28"/>
        </w:rPr>
        <w:t xml:space="preserve"> школьники заняли места в соревнованиях: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Плавание – 1 место (2014 г. - 2 место; 2013 г. – 3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Пулевая стрельба – 1 место (2014 г. - 2 место; 2013 г. – 4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Настольный теннис (юноши) – 7 место (2014 г. - 5 место; 2013 г. – 4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Настольный теннис (девушки) – 4место (2014 г. - 4 место; 2013 г. – 5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Греко-римская борьба – 1 место (2014 г. - 1 место; 2013 г. – 3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Волейбол (девушки) – не принимали участие (2014 г. - 1 место; 2013 г. – 2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Мини-футбол – 7 место (2014 г. - 6 место; 2013 г. – 4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Лыжные гонки – 3 место (2014 г. – 4 место; 2013 г. – 4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Бокс – 3 место (2014 г. – 5 место; 2013 г. – 7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Шахматы – 5 место (2014 г. – 3 место; 2013 г. – 4 место);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Баскетбол (дев.) – 6 место (2014 г. – 7 место; 2013 г. – не принимали участие);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Баскетбол (юноши) – 8 м </w:t>
      </w:r>
    </w:p>
    <w:p w:rsidR="00F836BB" w:rsidRPr="009402ED" w:rsidRDefault="00F836BB" w:rsidP="009402E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Волейбол (юноши) – 5 м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В командном зачете – 5 место (в 2014 году – 4 место; в 2013 году - 8 место) -</w:t>
      </w:r>
      <w:r w:rsidR="00166DDA">
        <w:rPr>
          <w:sz w:val="28"/>
          <w:szCs w:val="28"/>
        </w:rPr>
        <w:t xml:space="preserve"> </w:t>
      </w:r>
      <w:r w:rsidRPr="009402ED">
        <w:rPr>
          <w:color w:val="000000" w:themeColor="text1"/>
          <w:sz w:val="28"/>
          <w:szCs w:val="28"/>
        </w:rPr>
        <w:t>36</w:t>
      </w:r>
      <w:r w:rsidRPr="009402ED">
        <w:rPr>
          <w:sz w:val="28"/>
          <w:szCs w:val="28"/>
        </w:rPr>
        <w:t xml:space="preserve"> очков (в 2014 - 36 очков; в 2013 году - 60 очков), уступив городам Ноябрьск (21 очко), Новый Уренгой (22 очка) и </w:t>
      </w:r>
      <w:proofErr w:type="spellStart"/>
      <w:r w:rsidRPr="009402ED">
        <w:rPr>
          <w:sz w:val="28"/>
          <w:szCs w:val="28"/>
        </w:rPr>
        <w:t>Пуровскому</w:t>
      </w:r>
      <w:proofErr w:type="spellEnd"/>
      <w:r w:rsidRPr="009402ED">
        <w:rPr>
          <w:sz w:val="28"/>
          <w:szCs w:val="28"/>
        </w:rPr>
        <w:t xml:space="preserve"> району (34 очка). </w:t>
      </w:r>
      <w:proofErr w:type="gramEnd"/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В соревнованиях окружной Спартакиады трудящихся городов ЯНАО 2015 года </w:t>
      </w:r>
      <w:proofErr w:type="spellStart"/>
      <w:r w:rsidRPr="009402ED">
        <w:rPr>
          <w:sz w:val="28"/>
          <w:szCs w:val="28"/>
        </w:rPr>
        <w:t>губкинские</w:t>
      </w:r>
      <w:proofErr w:type="spellEnd"/>
      <w:r w:rsidRPr="009402ED">
        <w:rPr>
          <w:sz w:val="28"/>
          <w:szCs w:val="28"/>
        </w:rPr>
        <w:t xml:space="preserve"> спортсмены заняли места в соревнованиях: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Волейбол (жен.) – 1 место (2014 г. - 1 место; 2013 г. – 1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Пулевая стрельба – 10 место (2014 г . - 1 место; 2013 г. – 1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Баскетбол (муж.) – 10 место (2014 г. - 6 место; 2013г. – 2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Волейбол (муж.) – 3 место (2014 г. – 4 место; 2013 г. – 2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Гиревой спорт – 4 место (2014 г. – 4 место; 2013 г. – 4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Семейные команды – 4 место (2014 г. – 5 место; г. – 6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Шахматы – 10 место (2014 г. – 3 место; 2013 г. – 4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Плавание – 4 место (2014 г. – 3 место; 2013 г. – 4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Настольный теннис – 6 место (2014 г. - 5; 2013 г. – 3 место);</w:t>
      </w:r>
    </w:p>
    <w:p w:rsidR="00F836BB" w:rsidRPr="009402ED" w:rsidRDefault="00F836BB" w:rsidP="009402ED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Лыжные гонки – 3 место (2014 г. – 2 место; 2013 г. – 4 место).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В командном зачете – 4 место (в 2014 году - 4 место; в 2013 году - 3 место) – 36 очков (в 2014 г. - 23 очка; в 2013 году - 21 очко).</w:t>
      </w:r>
      <w:proofErr w:type="gramEnd"/>
      <w:r w:rsidRPr="009402ED">
        <w:rPr>
          <w:sz w:val="28"/>
          <w:szCs w:val="28"/>
        </w:rPr>
        <w:t xml:space="preserve"> </w:t>
      </w:r>
      <w:proofErr w:type="gramStart"/>
      <w:r w:rsidRPr="009402ED">
        <w:rPr>
          <w:sz w:val="28"/>
          <w:szCs w:val="28"/>
        </w:rPr>
        <w:t xml:space="preserve">Уступили </w:t>
      </w:r>
      <w:proofErr w:type="spellStart"/>
      <w:r w:rsidRPr="009402ED">
        <w:rPr>
          <w:sz w:val="28"/>
          <w:szCs w:val="28"/>
        </w:rPr>
        <w:t>Пуровскому</w:t>
      </w:r>
      <w:proofErr w:type="spellEnd"/>
      <w:r w:rsidRPr="009402ED">
        <w:rPr>
          <w:sz w:val="28"/>
          <w:szCs w:val="28"/>
        </w:rPr>
        <w:t xml:space="preserve"> району (1 место – 18 очков), г. Новый Уренгой (2 место – 22 очка); г. Ноябрьск (3 место – 25 очков).</w:t>
      </w:r>
      <w:proofErr w:type="gramEnd"/>
    </w:p>
    <w:p w:rsidR="00F836BB" w:rsidRPr="009402ED" w:rsidRDefault="00F836BB" w:rsidP="009402ED">
      <w:pPr>
        <w:pStyle w:val="3"/>
        <w:ind w:firstLine="0"/>
        <w:rPr>
          <w:szCs w:val="28"/>
        </w:rPr>
      </w:pPr>
      <w:r w:rsidRPr="009402ED">
        <w:rPr>
          <w:szCs w:val="28"/>
        </w:rPr>
        <w:t xml:space="preserve">Пятнадцати ведущим спортсменам города, согласно постановлению Главы города, ежемесячно выплачивалась стипендия. </w:t>
      </w:r>
    </w:p>
    <w:p w:rsidR="00F836BB" w:rsidRPr="009402ED" w:rsidRDefault="00F836BB" w:rsidP="009402ED">
      <w:pPr>
        <w:pStyle w:val="3"/>
        <w:ind w:firstLine="0"/>
        <w:rPr>
          <w:szCs w:val="28"/>
        </w:rPr>
      </w:pPr>
      <w:r w:rsidRPr="009402ED">
        <w:rPr>
          <w:szCs w:val="28"/>
        </w:rPr>
        <w:t>По результатам 2014 года двум ведущим спортсменам города по скалолазанию и греко-римской борьбе и их тренерам в 2015 году была назначена и выплачивалась стипендия Губернатора ЯНАО.</w:t>
      </w:r>
    </w:p>
    <w:p w:rsidR="00F836BB" w:rsidRPr="009402ED" w:rsidRDefault="00F836BB" w:rsidP="009402ED">
      <w:pPr>
        <w:pStyle w:val="3"/>
        <w:ind w:firstLine="0"/>
        <w:rPr>
          <w:szCs w:val="28"/>
        </w:rPr>
      </w:pPr>
      <w:r w:rsidRPr="009402ED">
        <w:rPr>
          <w:szCs w:val="28"/>
        </w:rPr>
        <w:t xml:space="preserve">С 2005 года Управлением проводятся спортивно-массовые мероприятия среди семейных команд. Так, в 2015 году проведено 5 мероприятий с численностью </w:t>
      </w:r>
      <w:r w:rsidRPr="009402ED">
        <w:rPr>
          <w:szCs w:val="28"/>
        </w:rPr>
        <w:lastRenderedPageBreak/>
        <w:t>участников – 127 чел. (в 2014 году было проведено 2 мероприятия с численностью участников – 55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Продолжена работа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>по проведению спортивно-массовых мероприятий среди дворовых команд, детей «группы риска», детей, находящихся в трудной жизненной ситуации и социально-опасном положении, детей, состоящих на различного рода профилактических учетах, коррекционной школы.</w:t>
      </w:r>
      <w:proofErr w:type="gramEnd"/>
      <w:r w:rsidRPr="009402ED">
        <w:rPr>
          <w:sz w:val="28"/>
          <w:szCs w:val="28"/>
        </w:rPr>
        <w:t xml:space="preserve"> Так, в 2015 году проведено 29 мероприятий с общей численностью участников 905 чел. (в 2014 году проведено 38 мероприятий с общей численностью 1239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Проведены соревнования по шахматам, пулевой стрельбе для инвалидов и лиц, находящихся на заслуженном отдыхе – 4 мероприятия с численностью участников 63 чел.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>(в 2013 г. – 5 мероприятий – 114 чел.; 2014г.: 4 мероприятия - 68 чел.); для детей-инвалидов и детей с ограниченными возможностями здоровья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>проводились спортивно-массовые мероприятия в рамках организации досуга, всего проведено в 2015 году 6 мероприятий с численностью участников 161 чел. (2013 г.: 5 мероприятий с численностью участников – 159 чел.; в 2014 г.: 3 мероприятий с чис</w:t>
      </w:r>
      <w:r w:rsidR="00166DDA">
        <w:rPr>
          <w:sz w:val="28"/>
          <w:szCs w:val="28"/>
        </w:rPr>
        <w:t>ленностью участников –62 чел.).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 рамках внедрения Всероссийского физкультурно-спортивного комплекса «Готов к труду и обороне» (ГТО) в городе проведено 92 мероприятия в целях апробации нормативов ВФСК ГТО, в том числе в общеобразовательных учреждениях 83 мероприятия, в МБУ ДО ДЮСШ «Олимп» - 1 мер</w:t>
      </w:r>
      <w:proofErr w:type="gramStart"/>
      <w:r w:rsidRPr="009402ED">
        <w:rPr>
          <w:sz w:val="28"/>
          <w:szCs w:val="28"/>
        </w:rPr>
        <w:t>.</w:t>
      </w:r>
      <w:proofErr w:type="gramEnd"/>
      <w:r w:rsidRPr="009402ED">
        <w:rPr>
          <w:sz w:val="28"/>
          <w:szCs w:val="28"/>
        </w:rPr>
        <w:t xml:space="preserve"> </w:t>
      </w:r>
      <w:proofErr w:type="gramStart"/>
      <w:r w:rsidRPr="009402ED">
        <w:rPr>
          <w:sz w:val="28"/>
          <w:szCs w:val="28"/>
        </w:rPr>
        <w:t>п</w:t>
      </w:r>
      <w:proofErr w:type="gramEnd"/>
      <w:r w:rsidRPr="009402ED">
        <w:rPr>
          <w:sz w:val="28"/>
          <w:szCs w:val="28"/>
        </w:rPr>
        <w:t>о 6-ти отделениям, МБУ «Спортивный комплекс» (наделен функциями Центра тестирования) – 5 мер. Всего в мероприятиях приняло участие 1733 человека.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Ведется работа по развитию физической культуры и спорта в коллективах общеобразовательных школ города: численность занимающихся в 2015 г. – 2566 чел. (2014 г. – 2879 чел., 2013 г. – 2527 чел.), из них девушек – 1195 чел. (2014 г. - 1370 чел., 2013 г. – 1074 чел.). Третий час физической культуры проводится во всех школах в полном объеме, за исключением профильных классов. В том числе среди учащихся 2-х - 4-х классов реализуются муниципальные программы по обучению плаванию школьников и игре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шахматы, а также обучение основам стрельбы для учащихся 7-х и кадетских классов. Всего по программам обучено плаванию 624 школьника, игре в шахматы – 139 детей и стрельбе из пневматического оружия – 327 человек. Внеклассная и секционная работа проводится в объемах, возможных при работе общеобразовательного учреждения в двухсменном режиме, при наличии одного зала. </w:t>
      </w:r>
    </w:p>
    <w:p w:rsidR="00F836BB" w:rsidRPr="009402ED" w:rsidRDefault="00F836BB" w:rsidP="009402ED">
      <w:pPr>
        <w:shd w:val="clear" w:color="auto" w:fill="FFFFFF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 детско-юношеской спортивной школе «Олимп» в 2015 году регулярно занималось 804 чел. из них девушек – 124 чел. (2014 г. - 935 чел., из них девушек – 235 чел.; в 2013 году - 935 чел., из них девушек – 227 чел). Снижение численности занимающихся обусловлено увольнением тренера по собственному желанию в связи с переменой места жительства за пределы города (1 чел.), увольнением тренера в связи с выходом на заслуженный отдых (1 чел.), уходом тренера в отпуск по беременности, родам и уходу за ребенком (1 чел.). Занятия проводят 15 штатных тренеров. Из них имеют высшую категорию 6 чел., 1 категорию 2 чел., вторую категорию 2 чел. Прошли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курсовую переподготовку – 6 человек. В штате имеются 4 вакансии тренерских ставок. </w:t>
      </w:r>
    </w:p>
    <w:p w:rsidR="00F836BB" w:rsidRPr="009402ED" w:rsidRDefault="00F836BB" w:rsidP="009402E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402ED">
        <w:rPr>
          <w:sz w:val="28"/>
          <w:szCs w:val="28"/>
        </w:rPr>
        <w:t>С начала года действовало 11 отделений (</w:t>
      </w:r>
      <w:proofErr w:type="spellStart"/>
      <w:r w:rsidRPr="009402ED">
        <w:rPr>
          <w:sz w:val="28"/>
          <w:szCs w:val="28"/>
        </w:rPr>
        <w:t>ачери-биатлон</w:t>
      </w:r>
      <w:proofErr w:type="spellEnd"/>
      <w:r w:rsidRPr="009402ED">
        <w:rPr>
          <w:sz w:val="28"/>
          <w:szCs w:val="28"/>
        </w:rPr>
        <w:t>, баскетбол, бокс, волейбол, греко-римская борьба, каратэ, лыжные гонки, мини-футбол, настольный теннис, пауэрлифтинг, шахматы).</w:t>
      </w:r>
      <w:proofErr w:type="gramEnd"/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>МБУ ДО ДЮСШ «Олимп»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заняла I место в </w:t>
      </w:r>
      <w:r w:rsidRPr="009402ED">
        <w:rPr>
          <w:bCs/>
          <w:sz w:val="28"/>
          <w:szCs w:val="28"/>
        </w:rPr>
        <w:t xml:space="preserve">окружном </w:t>
      </w:r>
      <w:r w:rsidRPr="009402ED">
        <w:rPr>
          <w:bCs/>
          <w:sz w:val="28"/>
          <w:szCs w:val="28"/>
        </w:rPr>
        <w:lastRenderedPageBreak/>
        <w:t>смотре-конкурсе среди детско-юношеских спортивных школ</w:t>
      </w:r>
      <w:r w:rsidR="00166DDA">
        <w:rPr>
          <w:bCs/>
          <w:sz w:val="28"/>
          <w:szCs w:val="28"/>
        </w:rPr>
        <w:t xml:space="preserve"> </w:t>
      </w:r>
      <w:r w:rsidRPr="009402ED">
        <w:rPr>
          <w:bCs/>
          <w:sz w:val="28"/>
          <w:szCs w:val="28"/>
        </w:rPr>
        <w:t>за лучшую постановку работы по подготовке спортивного резерва.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На спортивной базе ДЮСШ «Олимп» проведено соревнований: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- муниципальный уровень -31;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- окружной уровень – 3.</w:t>
      </w:r>
    </w:p>
    <w:p w:rsidR="00F836BB" w:rsidRPr="009402ED" w:rsidRDefault="00F836BB" w:rsidP="009402ED">
      <w:pPr>
        <w:jc w:val="both"/>
        <w:rPr>
          <w:b/>
          <w:sz w:val="28"/>
          <w:szCs w:val="28"/>
        </w:rPr>
      </w:pPr>
      <w:r w:rsidRPr="009402ED">
        <w:rPr>
          <w:sz w:val="28"/>
          <w:szCs w:val="28"/>
        </w:rPr>
        <w:t>За прошедший период времени в городе подготовлено 220 спортсменов массовых разрядов, в том числе 16 чел. – КМС, 27 чел. – 1</w:t>
      </w:r>
      <w:r w:rsidRPr="009402ED">
        <w:rPr>
          <w:b/>
          <w:sz w:val="28"/>
          <w:szCs w:val="28"/>
        </w:rPr>
        <w:t xml:space="preserve"> </w:t>
      </w:r>
      <w:r w:rsidRPr="009402ED">
        <w:rPr>
          <w:sz w:val="28"/>
          <w:szCs w:val="28"/>
        </w:rPr>
        <w:t>разряда.</w:t>
      </w:r>
      <w:r w:rsidRPr="009402ED">
        <w:rPr>
          <w:b/>
          <w:sz w:val="28"/>
          <w:szCs w:val="28"/>
        </w:rPr>
        <w:t xml:space="preserve"> </w:t>
      </w:r>
    </w:p>
    <w:p w:rsidR="00F836BB" w:rsidRPr="009402ED" w:rsidRDefault="00F836BB" w:rsidP="009402ED">
      <w:pPr>
        <w:pStyle w:val="a3"/>
        <w:jc w:val="both"/>
        <w:rPr>
          <w:b w:val="0"/>
          <w:szCs w:val="28"/>
        </w:rPr>
      </w:pPr>
      <w:r w:rsidRPr="009402ED">
        <w:rPr>
          <w:b w:val="0"/>
          <w:szCs w:val="28"/>
        </w:rPr>
        <w:t xml:space="preserve">В рамках дальнейшего развития материально-технической базы, развития и укрепления сети спортивных учреждений, возрастания уровня потребности населения в занятиях физкультурой и спортом в период с 2015 по 2030 гг. запланировано: </w:t>
      </w:r>
    </w:p>
    <w:p w:rsidR="00F836BB" w:rsidRPr="009402ED" w:rsidRDefault="00F836BB" w:rsidP="009402ED">
      <w:pPr>
        <w:pStyle w:val="a5"/>
        <w:ind w:left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а) строительство городского стадиона с футбольным полем, беговыми дорожками, площадками для игры в волейбол, баскетбол, большой теннис и городки; </w:t>
      </w:r>
    </w:p>
    <w:p w:rsidR="00F836BB" w:rsidRPr="009402ED" w:rsidRDefault="00F836BB" w:rsidP="009402ED">
      <w:pPr>
        <w:pStyle w:val="a5"/>
        <w:ind w:left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б)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проектирование и строительство ледового дворца; </w:t>
      </w:r>
    </w:p>
    <w:p w:rsidR="00F836BB" w:rsidRPr="009402ED" w:rsidRDefault="00F836BB" w:rsidP="009402ED">
      <w:pPr>
        <w:pStyle w:val="a5"/>
        <w:ind w:left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>в) строительство физкультурного объекта «Тропа здоровья» (это трасса с твердым покрытием длиной 500 м и 1,5 км, которая пройдет по лесному массиву с освещением, озвучиванием, с пунктом проката спортивного</w:t>
      </w:r>
      <w:r w:rsidR="00166DDA">
        <w:rPr>
          <w:sz w:val="28"/>
          <w:szCs w:val="28"/>
        </w:rPr>
        <w:t xml:space="preserve"> </w:t>
      </w:r>
      <w:r w:rsidRPr="009402ED">
        <w:rPr>
          <w:sz w:val="28"/>
          <w:szCs w:val="28"/>
        </w:rPr>
        <w:t xml:space="preserve">инвентаря (лыжи, велосипеды, самокаты, </w:t>
      </w:r>
      <w:proofErr w:type="spellStart"/>
      <w:r w:rsidRPr="009402ED">
        <w:rPr>
          <w:sz w:val="28"/>
          <w:szCs w:val="28"/>
        </w:rPr>
        <w:t>скейты</w:t>
      </w:r>
      <w:proofErr w:type="spellEnd"/>
      <w:r w:rsidRPr="009402ED">
        <w:rPr>
          <w:sz w:val="28"/>
          <w:szCs w:val="28"/>
        </w:rPr>
        <w:t xml:space="preserve"> и т.д.). </w:t>
      </w:r>
      <w:proofErr w:type="gramStart"/>
      <w:r w:rsidRPr="009402ED">
        <w:rPr>
          <w:sz w:val="28"/>
          <w:szCs w:val="28"/>
        </w:rPr>
        <w:t xml:space="preserve">Использование в зимнее время года: накатка лыжни, катание на лыжах, в летнее время трасса будет использоваться для проката, тренировок на лыжероллерах, прогулок и т.д.); </w:t>
      </w:r>
      <w:proofErr w:type="gramEnd"/>
    </w:p>
    <w:p w:rsidR="00F836BB" w:rsidRPr="009402ED" w:rsidRDefault="00F836BB" w:rsidP="009402ED">
      <w:pPr>
        <w:pStyle w:val="a5"/>
        <w:ind w:left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г) начало функционирования Дворца культуры и спорта «Нефтяник» (объект сдан в эксплуатацию, но не работает ввиду длительной процедуры юридического оформления документации). 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Деятельность в сфере физической культуры и спорта осуществлялась в рамках реализации муниципальной программы «Развитие физической культуры и спорта на 2014 – 2020 годы», которая включает в себя подпрограммы и решает задачи:</w:t>
      </w:r>
    </w:p>
    <w:p w:rsidR="00F836BB" w:rsidRPr="009402ED" w:rsidRDefault="00F836BB" w:rsidP="009402ED">
      <w:pPr>
        <w:pStyle w:val="a5"/>
        <w:numPr>
          <w:ilvl w:val="0"/>
          <w:numId w:val="4"/>
        </w:numPr>
        <w:tabs>
          <w:tab w:val="left" w:pos="-142"/>
        </w:tabs>
        <w:ind w:left="0" w:firstLine="0"/>
        <w:jc w:val="both"/>
        <w:rPr>
          <w:sz w:val="28"/>
          <w:szCs w:val="28"/>
        </w:rPr>
      </w:pPr>
      <w:r w:rsidRPr="009402ED">
        <w:rPr>
          <w:sz w:val="28"/>
          <w:szCs w:val="28"/>
        </w:rPr>
        <w:t xml:space="preserve">«Развитие физической культуры и массового спорта в городе </w:t>
      </w:r>
      <w:proofErr w:type="spellStart"/>
      <w:r w:rsidRPr="009402ED">
        <w:rPr>
          <w:sz w:val="28"/>
          <w:szCs w:val="28"/>
        </w:rPr>
        <w:t>Губкинском</w:t>
      </w:r>
      <w:proofErr w:type="spellEnd"/>
      <w:r w:rsidRPr="009402ED">
        <w:rPr>
          <w:sz w:val="28"/>
          <w:szCs w:val="28"/>
        </w:rPr>
        <w:t xml:space="preserve"> на 2014 – 2020 годы»;</w:t>
      </w:r>
    </w:p>
    <w:p w:rsidR="00F836BB" w:rsidRPr="009402ED" w:rsidRDefault="00F836BB" w:rsidP="009402ED">
      <w:pPr>
        <w:tabs>
          <w:tab w:val="left" w:pos="-3486"/>
          <w:tab w:val="left" w:pos="-142"/>
        </w:tabs>
        <w:jc w:val="both"/>
        <w:rPr>
          <w:sz w:val="28"/>
          <w:szCs w:val="28"/>
        </w:rPr>
      </w:pPr>
      <w:r w:rsidRPr="009402ED">
        <w:rPr>
          <w:sz w:val="28"/>
          <w:szCs w:val="28"/>
        </w:rPr>
        <w:t>2. «Строительство объектов физической культуры и спорта, реконструкция, устройство и монтаж плоскостных сооружений на 2014 - 2020 годы»;</w:t>
      </w:r>
    </w:p>
    <w:p w:rsidR="00F836BB" w:rsidRPr="009402ED" w:rsidRDefault="00F836BB" w:rsidP="009402ED">
      <w:pPr>
        <w:tabs>
          <w:tab w:val="left" w:pos="-142"/>
          <w:tab w:val="left" w:pos="1080"/>
        </w:tabs>
        <w:jc w:val="both"/>
        <w:rPr>
          <w:sz w:val="28"/>
          <w:szCs w:val="28"/>
        </w:rPr>
      </w:pPr>
      <w:r w:rsidRPr="009402ED">
        <w:rPr>
          <w:sz w:val="28"/>
          <w:szCs w:val="28"/>
        </w:rPr>
        <w:t>3. «Обеспечение реализации муниципальной программы «Развитие физической культуры и спорта на 2014 -2020 годы»;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4. «Обеспечение мер социальной поддержки в сфере физической культуры и спорта на 2014-2020 годы».</w:t>
      </w:r>
    </w:p>
    <w:p w:rsidR="00F836BB" w:rsidRPr="009402ED" w:rsidRDefault="00F836BB" w:rsidP="009402ED">
      <w:pPr>
        <w:jc w:val="both"/>
        <w:rPr>
          <w:sz w:val="28"/>
          <w:szCs w:val="28"/>
        </w:rPr>
      </w:pPr>
      <w:r w:rsidRPr="009402ED">
        <w:rPr>
          <w:sz w:val="28"/>
          <w:szCs w:val="28"/>
        </w:rPr>
        <w:t>Физическая культура и спорт, как отрасль деятельности муниципального образования регулярно освещается в средствах массовой информации – газетах «</w:t>
      </w:r>
      <w:proofErr w:type="spellStart"/>
      <w:r w:rsidRPr="009402ED">
        <w:rPr>
          <w:sz w:val="28"/>
          <w:szCs w:val="28"/>
        </w:rPr>
        <w:t>Губкинская</w:t>
      </w:r>
      <w:proofErr w:type="spellEnd"/>
      <w:r w:rsidRPr="009402ED">
        <w:rPr>
          <w:sz w:val="28"/>
          <w:szCs w:val="28"/>
        </w:rPr>
        <w:t xml:space="preserve"> неделя», телевидению, радио и на официальных сайтах города и округа.</w:t>
      </w:r>
    </w:p>
    <w:sectPr w:rsidR="00F836BB" w:rsidRPr="009402ED" w:rsidSect="009402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1B3"/>
    <w:multiLevelType w:val="hybridMultilevel"/>
    <w:tmpl w:val="DA20A032"/>
    <w:lvl w:ilvl="0" w:tplc="C9E8758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7B35"/>
    <w:multiLevelType w:val="hybridMultilevel"/>
    <w:tmpl w:val="FDF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939AE"/>
    <w:multiLevelType w:val="hybridMultilevel"/>
    <w:tmpl w:val="62860BB0"/>
    <w:lvl w:ilvl="0" w:tplc="4B10159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86C8B"/>
    <w:multiLevelType w:val="hybridMultilevel"/>
    <w:tmpl w:val="BCE0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36BB"/>
    <w:rsid w:val="000C3726"/>
    <w:rsid w:val="00166DDA"/>
    <w:rsid w:val="009402ED"/>
    <w:rsid w:val="00F8038B"/>
    <w:rsid w:val="00F8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836B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F836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836BB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3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836BB"/>
    <w:pPr>
      <w:ind w:hanging="28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3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3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2423</Words>
  <Characters>13815</Characters>
  <Application>Microsoft Office Word</Application>
  <DocSecurity>0</DocSecurity>
  <Lines>115</Lines>
  <Paragraphs>32</Paragraphs>
  <ScaleCrop>false</ScaleCrop>
  <Company>Microsoft</Company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2016-03-12T13:16:00Z</dcterms:created>
  <dcterms:modified xsi:type="dcterms:W3CDTF">2016-03-14T09:10:00Z</dcterms:modified>
</cp:coreProperties>
</file>