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B9" w:rsidRPr="005910B9" w:rsidRDefault="00824A42" w:rsidP="005910B9">
      <w:pPr>
        <w:rPr>
          <w:b/>
          <w:sz w:val="28"/>
          <w:szCs w:val="28"/>
        </w:rPr>
      </w:pPr>
      <w:r w:rsidRPr="005910B9">
        <w:rPr>
          <w:b/>
          <w:sz w:val="28"/>
          <w:szCs w:val="28"/>
        </w:rPr>
        <w:t>Уссурийск</w:t>
      </w:r>
    </w:p>
    <w:p w:rsidR="002C7AAD" w:rsidRPr="005910B9" w:rsidRDefault="002C7AAD" w:rsidP="005910B9">
      <w:pPr>
        <w:rPr>
          <w:b/>
          <w:sz w:val="28"/>
          <w:szCs w:val="28"/>
        </w:rPr>
      </w:pPr>
      <w:r w:rsidRPr="005910B9">
        <w:rPr>
          <w:b/>
          <w:sz w:val="28"/>
          <w:szCs w:val="28"/>
        </w:rPr>
        <w:t>Что наиболее значительное удалось сделать в 2014 году?</w:t>
      </w:r>
    </w:p>
    <w:p w:rsidR="002C7AAD" w:rsidRPr="005910B9" w:rsidRDefault="002C7AAD" w:rsidP="005910B9">
      <w:pPr>
        <w:jc w:val="both"/>
        <w:rPr>
          <w:b/>
          <w:sz w:val="28"/>
          <w:szCs w:val="28"/>
        </w:rPr>
      </w:pPr>
      <w:r w:rsidRPr="005910B9">
        <w:rPr>
          <w:b/>
          <w:sz w:val="28"/>
          <w:szCs w:val="28"/>
        </w:rPr>
        <w:t>Земельные отношения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В 2014 году посредством торгов было реализовано 120 участков общей площадью</w:t>
      </w:r>
      <w:r w:rsidR="005910B9" w:rsidRP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384640 кв</w:t>
      </w:r>
      <w:proofErr w:type="gramStart"/>
      <w:r w:rsidRPr="005910B9">
        <w:rPr>
          <w:sz w:val="28"/>
          <w:szCs w:val="28"/>
        </w:rPr>
        <w:t>.м</w:t>
      </w:r>
      <w:proofErr w:type="gramEnd"/>
      <w:r w:rsidRPr="005910B9">
        <w:rPr>
          <w:sz w:val="28"/>
          <w:szCs w:val="28"/>
        </w:rPr>
        <w:t>, из них: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72 участка - индивидуальное жилищное строительство;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31 участок – строительство многоквартирных жилых домов;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17 участков – строительство коммерческих объектов.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В результате</w:t>
      </w:r>
      <w:proofErr w:type="gramStart"/>
      <w:r w:rsidRPr="005910B9">
        <w:rPr>
          <w:sz w:val="28"/>
          <w:szCs w:val="28"/>
        </w:rPr>
        <w:t xml:space="preserve"> ,</w:t>
      </w:r>
      <w:proofErr w:type="gramEnd"/>
      <w:r w:rsidRPr="005910B9">
        <w:rPr>
          <w:sz w:val="28"/>
          <w:szCs w:val="28"/>
        </w:rPr>
        <w:t xml:space="preserve"> дополнительно в бюджет Уссурийского городского округа поступило порядка 141 млн. рублей.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В 2015 году планируется реализовать посредством торгов ориентировочно 241 участок площадью 585500 кв.м.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В рамках реализации Указа Президента Российской Федерации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В.В. Путина по принятию комплексных мер по улучшению жилищных условий многодетных семей, администрацией Уссурийского городского округа организована работа по предоставлению бесплатных земельных участков гражданам, имеющим трех и более детей.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На сегодняшний день, включено в реестр 1004 многодетные семьи. Предоставлено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808 участков, что составляет 80%. Администрацией Уссурийского городского округа ежемесячно организовываются жеребьевки по предоставлению земельных участков.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Таким образом, на территории Уссурийского городского округа очереди по предоставлению земли многодетным семьям не имеется, участки предоставляются по мере поступления заявлений.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 xml:space="preserve">В 2015 году планируется предоставить 362 </w:t>
      </w:r>
      <w:proofErr w:type="gramStart"/>
      <w:r w:rsidRPr="005910B9">
        <w:rPr>
          <w:sz w:val="28"/>
          <w:szCs w:val="28"/>
        </w:rPr>
        <w:t>земельных</w:t>
      </w:r>
      <w:proofErr w:type="gramEnd"/>
      <w:r w:rsidRPr="005910B9">
        <w:rPr>
          <w:sz w:val="28"/>
          <w:szCs w:val="28"/>
        </w:rPr>
        <w:t xml:space="preserve"> участка многодетным семьям.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С гражданами, имеющими трех и более детей, администрацией Уссурийского городского округа регулярно проводятся встречи, где гражданам объясняются дальнейшие их действия по использованию земельных участков и о мероприятиях, проводимых администрацией округа.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proofErr w:type="gramStart"/>
      <w:r w:rsidRPr="005910B9">
        <w:rPr>
          <w:sz w:val="28"/>
          <w:szCs w:val="28"/>
        </w:rPr>
        <w:t>Администрацией Уссурийского городского округа разработана брошюра «Что нужно знать гражданам, получившим земельный участок по закону «О бесплатном предоставлении земельных участков гражданам, имеющих трех и более детей, в Приморском крае», в которой указаны пошаговые действия будущих застройщиков.</w:t>
      </w:r>
      <w:proofErr w:type="gramEnd"/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На главной странице сайта администрации Уссурийского городского округа организована отдельная вкладка с информацией для многодетных семей.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В процессе формирования земельных участков и вовлечения их в градостроительную деятельность немаловажным фактором является наличие инженерной инфраструктуры на территории Уссурийского городского округа.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В результате, в 2014 году было сформировано 50 земельных участков для строительства сетей водоснабжения и водоотведения, сетей электроснабжения, сетей связи и сетей теплоснабжения.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proofErr w:type="gramStart"/>
      <w:r w:rsidRPr="005910B9">
        <w:rPr>
          <w:sz w:val="28"/>
          <w:szCs w:val="28"/>
        </w:rPr>
        <w:lastRenderedPageBreak/>
        <w:t>Кроме того, с целью расширения полосы отвода железной дороги сообщением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Москва-Владивосток, проходящей по территории Уссурийского городского, сформированы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17 земельных участков.</w:t>
      </w:r>
      <w:proofErr w:type="gramEnd"/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Сегодня на территорию Приморского края приходит газ.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В рамках реализации программы развития газоснабжения и газификации Приморского края на 2012-2015гг., для размещения объектов газификации предоставлено 28 земельных участков.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 xml:space="preserve">В результате передачи земельных участков Министерством обороны Российской Федерации в собственность Уссурийского городского округа было принято 85 земельных участков площадью 18 000 га, в том числе земельные участки, на которых расположены </w:t>
      </w:r>
      <w:bookmarkStart w:id="0" w:name="_GoBack"/>
      <w:bookmarkEnd w:id="0"/>
      <w:r w:rsidRPr="005910B9">
        <w:rPr>
          <w:sz w:val="28"/>
          <w:szCs w:val="28"/>
        </w:rPr>
        <w:t>многоквартирных дома.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В целях соблюдения прав человека на благоприятные условия жизнедеятельности, в соответствии с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Жилищным кодексом Российской Федерации, у граждан, проживающих в таких домах, возникло право общей долевой собственности на земельные участки, а также возможность реализовать свое право на улучшение жилищных условий.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proofErr w:type="gramStart"/>
      <w:r w:rsidRPr="005910B9">
        <w:rPr>
          <w:sz w:val="28"/>
          <w:szCs w:val="28"/>
        </w:rPr>
        <w:t>В связи с тем, что жилой фонд Министерства обороны Российской Федерации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передан в основном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в неудовлетворительном состоянии, администрация Уссурийского городского округа в рамках реализации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края» на 2013-2017 годы, проводит мероприятия по изъятию земельных участков, на которых расположен аварийный жилой фонд, тем самым обеспечивая граждан новыми квадратными</w:t>
      </w:r>
      <w:proofErr w:type="gramEnd"/>
      <w:r w:rsidRPr="005910B9">
        <w:rPr>
          <w:sz w:val="28"/>
          <w:szCs w:val="28"/>
        </w:rPr>
        <w:t xml:space="preserve"> метрами жилья.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 xml:space="preserve">Так, в 2014 году были изъяты 43 </w:t>
      </w:r>
      <w:proofErr w:type="gramStart"/>
      <w:r w:rsidRPr="005910B9">
        <w:rPr>
          <w:sz w:val="28"/>
          <w:szCs w:val="28"/>
        </w:rPr>
        <w:t>земельных</w:t>
      </w:r>
      <w:proofErr w:type="gramEnd"/>
      <w:r w:rsidRPr="005910B9">
        <w:rPr>
          <w:sz w:val="28"/>
          <w:szCs w:val="28"/>
        </w:rPr>
        <w:t xml:space="preserve"> участка.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В 2015 году планируется изъять 56 земельных участков.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В отношении не застроенных территорий,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 xml:space="preserve">а это площадь порядка 1500 га, переданных военным ведомством, в целях вовлечения их в хозяйственную деятельность, вносятся изменения в Генеральный план Уссурийского городского </w:t>
      </w:r>
      <w:proofErr w:type="gramStart"/>
      <w:r w:rsidRPr="005910B9">
        <w:rPr>
          <w:sz w:val="28"/>
          <w:szCs w:val="28"/>
        </w:rPr>
        <w:t>округа</w:t>
      </w:r>
      <w:proofErr w:type="gramEnd"/>
      <w:r w:rsidRPr="005910B9">
        <w:rPr>
          <w:sz w:val="28"/>
          <w:szCs w:val="28"/>
        </w:rPr>
        <w:t xml:space="preserve"> и разрабатывается проектная градостроительная документация, которыми будут определены возможные варианты предоставления участков.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Такие территории планируется предоставить многодетным семьям, а также для создания производственных предприятий.</w:t>
      </w:r>
    </w:p>
    <w:p w:rsidR="002C7AAD" w:rsidRPr="005910B9" w:rsidRDefault="002C7AAD" w:rsidP="005910B9">
      <w:pPr>
        <w:jc w:val="both"/>
        <w:rPr>
          <w:b/>
          <w:sz w:val="28"/>
          <w:szCs w:val="28"/>
        </w:rPr>
      </w:pPr>
      <w:r w:rsidRPr="005910B9">
        <w:rPr>
          <w:b/>
          <w:sz w:val="28"/>
          <w:szCs w:val="28"/>
        </w:rPr>
        <w:t>Имущественные отношения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>В 2014 году проводилась значительная работа по оформлению права собственности на объекты недвижимого имущества, принятые в муниципальную собственность от Министерства обороны Российской Федерации и оформлению документов на земельные участки под объектами Министерства обороны РФ.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>Какие успехи и достижения ваших коллег из других городов Вы бы особо отметили</w:t>
      </w:r>
    </w:p>
    <w:p w:rsidR="002C7AAD" w:rsidRPr="005910B9" w:rsidRDefault="002C7AAD" w:rsidP="005910B9">
      <w:pPr>
        <w:pStyle w:val="ad"/>
        <w:widowControl w:val="0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10B9">
        <w:rPr>
          <w:rFonts w:ascii="Times New Roman" w:hAnsi="Times New Roman"/>
          <w:sz w:val="28"/>
          <w:szCs w:val="28"/>
        </w:rPr>
        <w:t>Интересен опыт муниципальных образований по реализации муниципальных программ и оценке эффективности реализации муниципальных программ.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>2. Ликвидация несанкционированных нестационарных объектов (демонтаж) – опыт</w:t>
      </w:r>
      <w:r w:rsidR="005910B9">
        <w:rPr>
          <w:sz w:val="28"/>
          <w:szCs w:val="28"/>
        </w:rPr>
        <w:t xml:space="preserve"> </w:t>
      </w:r>
      <w:proofErr w:type="gramStart"/>
      <w:r w:rsidRPr="005910B9">
        <w:rPr>
          <w:sz w:val="28"/>
          <w:szCs w:val="28"/>
        </w:rPr>
        <w:t>г</w:t>
      </w:r>
      <w:proofErr w:type="gramEnd"/>
      <w:r w:rsidRPr="005910B9">
        <w:rPr>
          <w:sz w:val="28"/>
          <w:szCs w:val="28"/>
        </w:rPr>
        <w:t xml:space="preserve">. Владивостока и др. </w:t>
      </w:r>
    </w:p>
    <w:p w:rsidR="002C7AAD" w:rsidRPr="005910B9" w:rsidRDefault="002C7AAD" w:rsidP="005910B9">
      <w:pPr>
        <w:rPr>
          <w:sz w:val="28"/>
          <w:szCs w:val="28"/>
        </w:rPr>
      </w:pPr>
      <w:r w:rsidRPr="005910B9">
        <w:rPr>
          <w:sz w:val="28"/>
          <w:szCs w:val="28"/>
        </w:rPr>
        <w:lastRenderedPageBreak/>
        <w:t>4. Хотелось бы отметить успехи города Нижний Новгород в 2014 году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 xml:space="preserve">в утверждении порядка проведения мероприятий по признанию права муниципальной собственности на бесхозяйные объекты инженерной инфраструктуры, обеспечивающие </w:t>
      </w:r>
      <w:proofErr w:type="spellStart"/>
      <w:r w:rsidRPr="005910B9">
        <w:rPr>
          <w:sz w:val="28"/>
          <w:szCs w:val="28"/>
        </w:rPr>
        <w:t>электро</w:t>
      </w:r>
      <w:proofErr w:type="spellEnd"/>
      <w:r w:rsidRPr="005910B9">
        <w:rPr>
          <w:sz w:val="28"/>
          <w:szCs w:val="28"/>
        </w:rPr>
        <w:t>-, тепл</w:t>
      </w:r>
      <w:proofErr w:type="gramStart"/>
      <w:r w:rsidRPr="005910B9">
        <w:rPr>
          <w:sz w:val="28"/>
          <w:szCs w:val="28"/>
        </w:rPr>
        <w:t>о-</w:t>
      </w:r>
      <w:proofErr w:type="gramEnd"/>
      <w:r w:rsidRPr="005910B9">
        <w:rPr>
          <w:sz w:val="28"/>
          <w:szCs w:val="28"/>
        </w:rPr>
        <w:t xml:space="preserve">, </w:t>
      </w:r>
      <w:proofErr w:type="spellStart"/>
      <w:r w:rsidRPr="005910B9">
        <w:rPr>
          <w:sz w:val="28"/>
          <w:szCs w:val="28"/>
        </w:rPr>
        <w:t>газо</w:t>
      </w:r>
      <w:proofErr w:type="spellEnd"/>
      <w:r w:rsidRPr="005910B9">
        <w:rPr>
          <w:sz w:val="28"/>
          <w:szCs w:val="28"/>
        </w:rPr>
        <w:t xml:space="preserve">-, горячее водоснабжение, холодное водоснабжение, водоотведение жилого фонда и объектов социальной сферы, организации работ по их ремонту в связи с аварией за счет средств бюджета города Нижнего Новгорода и передачи бесхозяйных объектов инженерной инфраструктуры, обеспечивающие </w:t>
      </w:r>
      <w:proofErr w:type="spellStart"/>
      <w:r w:rsidRPr="005910B9">
        <w:rPr>
          <w:sz w:val="28"/>
          <w:szCs w:val="28"/>
        </w:rPr>
        <w:t>электро</w:t>
      </w:r>
      <w:proofErr w:type="spellEnd"/>
      <w:r w:rsidRPr="005910B9">
        <w:rPr>
          <w:sz w:val="28"/>
          <w:szCs w:val="28"/>
        </w:rPr>
        <w:t>-, тепл</w:t>
      </w:r>
      <w:proofErr w:type="gramStart"/>
      <w:r w:rsidRPr="005910B9">
        <w:rPr>
          <w:sz w:val="28"/>
          <w:szCs w:val="28"/>
        </w:rPr>
        <w:t>о-</w:t>
      </w:r>
      <w:proofErr w:type="gramEnd"/>
      <w:r w:rsidRPr="005910B9">
        <w:rPr>
          <w:sz w:val="28"/>
          <w:szCs w:val="28"/>
        </w:rPr>
        <w:t xml:space="preserve">, </w:t>
      </w:r>
      <w:proofErr w:type="spellStart"/>
      <w:r w:rsidRPr="005910B9">
        <w:rPr>
          <w:sz w:val="28"/>
          <w:szCs w:val="28"/>
        </w:rPr>
        <w:t>газо</w:t>
      </w:r>
      <w:proofErr w:type="spellEnd"/>
      <w:r w:rsidRPr="005910B9">
        <w:rPr>
          <w:sz w:val="28"/>
          <w:szCs w:val="28"/>
        </w:rPr>
        <w:t>-, горячее водоснабжение, холодное водоснабжение, водоотведение жилого фонда и объектов социальной сферы, в эксплуатацию в специализированные организации до признания права собственности.</w:t>
      </w:r>
    </w:p>
    <w:p w:rsidR="002C7AAD" w:rsidRPr="005910B9" w:rsidRDefault="002C7AAD" w:rsidP="005910B9">
      <w:pPr>
        <w:jc w:val="both"/>
        <w:rPr>
          <w:b/>
          <w:sz w:val="28"/>
          <w:szCs w:val="28"/>
        </w:rPr>
      </w:pPr>
      <w:r w:rsidRPr="005910B9">
        <w:rPr>
          <w:b/>
          <w:sz w:val="28"/>
          <w:szCs w:val="28"/>
        </w:rPr>
        <w:t>Какие наиболее трудные проблемы не удалось решить в прошедшем году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 xml:space="preserve">В 2014 году не удалось достичь положительной динамики роста по сравнению с 2013 годом по такому макроэкономическому показателю как: объем работ выполненных по виду деятельности «Строительство». По итогам 2014 года по </w:t>
      </w:r>
      <w:proofErr w:type="gramStart"/>
      <w:r w:rsidRPr="005910B9">
        <w:rPr>
          <w:sz w:val="28"/>
          <w:szCs w:val="28"/>
        </w:rPr>
        <w:t>показателю достигнут уровень</w:t>
      </w:r>
      <w:proofErr w:type="gramEnd"/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2013 года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на 57,0% в сопоставимой оценке (это связано с окончанием строительства объектов саммита АТЭС).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b/>
          <w:sz w:val="28"/>
          <w:szCs w:val="28"/>
        </w:rPr>
        <w:t>Наиболее значительные проблемы в прошедшем году</w:t>
      </w:r>
      <w:r w:rsidRPr="005910B9">
        <w:rPr>
          <w:sz w:val="28"/>
          <w:szCs w:val="28"/>
        </w:rPr>
        <w:t xml:space="preserve"> были связаны с деятельностью предприятий, находящихся под ведомством Министерства обороны. Проблемы с обеспечением государственным заказом привели к огромным долгам по налоговым и другим обязательным платежам по нескольким крупным организациям Министерства обороны. 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>Более того, на одном из предприятий бесконтрольная деятельность привела к нескольким пожарам с повышенной степенью, были случаи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 xml:space="preserve">выявления опасных для жизни веществ. Неоднократные обращения в адрес Министерства обороны остались без ответа. </w:t>
      </w:r>
    </w:p>
    <w:p w:rsidR="002C7AAD" w:rsidRPr="005910B9" w:rsidRDefault="002C7AAD" w:rsidP="005910B9">
      <w:pPr>
        <w:shd w:val="clear" w:color="auto" w:fill="FFFFFF"/>
        <w:jc w:val="both"/>
        <w:rPr>
          <w:sz w:val="28"/>
          <w:szCs w:val="28"/>
        </w:rPr>
      </w:pPr>
      <w:r w:rsidRPr="005910B9">
        <w:rPr>
          <w:sz w:val="28"/>
          <w:szCs w:val="28"/>
        </w:rPr>
        <w:t>Сохраняется много вопросов по проблемам организации землепользования и застройки на территории Уссурийского городского округа.</w:t>
      </w:r>
    </w:p>
    <w:p w:rsidR="002C7AAD" w:rsidRPr="005910B9" w:rsidRDefault="002C7AAD" w:rsidP="005910B9">
      <w:pPr>
        <w:shd w:val="clear" w:color="auto" w:fill="FFFFFF"/>
        <w:jc w:val="both"/>
        <w:rPr>
          <w:sz w:val="28"/>
          <w:szCs w:val="28"/>
        </w:rPr>
      </w:pPr>
      <w:r w:rsidRPr="005910B9">
        <w:rPr>
          <w:sz w:val="28"/>
          <w:szCs w:val="28"/>
        </w:rPr>
        <w:t xml:space="preserve">Не удалось в 2014 году существенно расширить количество субъектов малого предпринимательства, занимающихся производством инновационной продукции, либо осуществляющих деятельность в сфере обрабатывающих производств. 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>Негативным фактором со 2-го полугодия 2014 года для субъектов малого предпринимательства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стало повышение процентных ставок по кредитным договорам, что значительно осложнило обеспечение не только инвестиционными ресурсами, но и оборотным капиталом для ведения бизнеса.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>Возникали трудности по формированию Единого реестра объектов потребительского рынка Уссурийского городского округа в виду отсутствия нормативных актов по обязательной регистрации объектов.</w:t>
      </w:r>
    </w:p>
    <w:p w:rsidR="002C7AAD" w:rsidRPr="005910B9" w:rsidRDefault="002C7AAD" w:rsidP="005910B9">
      <w:pPr>
        <w:jc w:val="both"/>
        <w:rPr>
          <w:sz w:val="28"/>
          <w:szCs w:val="28"/>
          <w:lang w:val="en-US"/>
        </w:rPr>
      </w:pPr>
      <w:r w:rsidRPr="005910B9">
        <w:rPr>
          <w:sz w:val="28"/>
          <w:szCs w:val="28"/>
        </w:rPr>
        <w:t>Проблемы по принятию в муниципальную собственность объектов инженерной инфраструктуры к многоквартирным жилым домам, построенным по договорам долевого строительства.</w:t>
      </w:r>
    </w:p>
    <w:p w:rsidR="002C7AAD" w:rsidRPr="005910B9" w:rsidRDefault="002C7AAD" w:rsidP="005910B9">
      <w:pPr>
        <w:jc w:val="both"/>
        <w:rPr>
          <w:b/>
          <w:sz w:val="28"/>
          <w:szCs w:val="28"/>
        </w:rPr>
      </w:pPr>
      <w:r w:rsidRPr="005910B9">
        <w:rPr>
          <w:b/>
          <w:sz w:val="28"/>
          <w:szCs w:val="28"/>
        </w:rPr>
        <w:t>Какие задачи стоят в 2015 году?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lastRenderedPageBreak/>
        <w:t>В 2015 году планируем повысить показатель принятия имущества в муниципальную собственность за счет объектов движимого имущества, передаваемых Министерством обороны Российской Федерации.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 xml:space="preserve">В 2015 году планируем утвердить порядок проведения мероприятий по признанию права муниципальной собственности на бесхозяйные объекты инженерной инфраструктуры, обеспечивающие </w:t>
      </w:r>
      <w:proofErr w:type="spellStart"/>
      <w:r w:rsidRPr="005910B9">
        <w:rPr>
          <w:sz w:val="28"/>
          <w:szCs w:val="28"/>
        </w:rPr>
        <w:t>электро</w:t>
      </w:r>
      <w:proofErr w:type="spellEnd"/>
      <w:r w:rsidRPr="005910B9">
        <w:rPr>
          <w:sz w:val="28"/>
          <w:szCs w:val="28"/>
        </w:rPr>
        <w:t>-, тепл</w:t>
      </w:r>
      <w:proofErr w:type="gramStart"/>
      <w:r w:rsidRPr="005910B9">
        <w:rPr>
          <w:sz w:val="28"/>
          <w:szCs w:val="28"/>
        </w:rPr>
        <w:t>о-</w:t>
      </w:r>
      <w:proofErr w:type="gramEnd"/>
      <w:r w:rsidRPr="005910B9">
        <w:rPr>
          <w:sz w:val="28"/>
          <w:szCs w:val="28"/>
        </w:rPr>
        <w:t xml:space="preserve">, </w:t>
      </w:r>
      <w:proofErr w:type="spellStart"/>
      <w:r w:rsidRPr="005910B9">
        <w:rPr>
          <w:sz w:val="28"/>
          <w:szCs w:val="28"/>
        </w:rPr>
        <w:t>газо</w:t>
      </w:r>
      <w:proofErr w:type="spellEnd"/>
      <w:r w:rsidRPr="005910B9">
        <w:rPr>
          <w:sz w:val="28"/>
          <w:szCs w:val="28"/>
        </w:rPr>
        <w:t>-, горячее водоснабжение, холодное водоснабжение, водоотведение жилого фонда и объектов социальной сферы, организации работ по их ремонту в связи с аварией за счет средств бюджета Уссурийского городского округа, и передачи указанных бесхозяйных объектов в эксплуатацию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в специализированные организации до признания права собственности.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>Какую помощь и содействие, на Ваш взгляд, может оказать АСДГ в решении проблем?</w:t>
      </w:r>
    </w:p>
    <w:p w:rsidR="002C7AAD" w:rsidRPr="005910B9" w:rsidRDefault="002C7AAD" w:rsidP="005910B9">
      <w:pPr>
        <w:jc w:val="both"/>
        <w:rPr>
          <w:b/>
          <w:sz w:val="28"/>
          <w:szCs w:val="28"/>
        </w:rPr>
      </w:pPr>
      <w:r w:rsidRPr="005910B9">
        <w:rPr>
          <w:b/>
          <w:sz w:val="28"/>
          <w:szCs w:val="28"/>
        </w:rPr>
        <w:t>Нам полезны информационные материалы АСДГ и проводимые совещания и семинары.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>Целесообразно организовать информационный обмен опытом по задачам и проблемам в сфере регулирования торговой деятельности среди субъектов торгового бизнеса, стоящих перед органами местного самоуправления.</w:t>
      </w:r>
    </w:p>
    <w:p w:rsidR="002C7AAD" w:rsidRPr="005910B9" w:rsidRDefault="002C7AAD" w:rsidP="005910B9">
      <w:pPr>
        <w:jc w:val="both"/>
        <w:rPr>
          <w:b/>
          <w:sz w:val="28"/>
          <w:szCs w:val="28"/>
        </w:rPr>
      </w:pPr>
      <w:r w:rsidRPr="005910B9">
        <w:rPr>
          <w:b/>
          <w:sz w:val="28"/>
          <w:szCs w:val="28"/>
        </w:rPr>
        <w:t>Считаете ли Вы целесообразным проведение конференции (совещания и пр.) по обсуждению наиболее актуальных вопросов и решению проблем отрасли?</w:t>
      </w:r>
    </w:p>
    <w:p w:rsidR="002C7AAD" w:rsidRPr="005910B9" w:rsidRDefault="002C7AAD" w:rsidP="005910B9">
      <w:pPr>
        <w:jc w:val="both"/>
        <w:rPr>
          <w:b/>
          <w:sz w:val="28"/>
          <w:szCs w:val="28"/>
        </w:rPr>
      </w:pPr>
      <w:r w:rsidRPr="005910B9">
        <w:rPr>
          <w:sz w:val="28"/>
          <w:szCs w:val="28"/>
        </w:rPr>
        <w:t xml:space="preserve">Проведение конференции необходимо. </w:t>
      </w:r>
      <w:r w:rsidRPr="005910B9">
        <w:rPr>
          <w:b/>
          <w:sz w:val="28"/>
          <w:szCs w:val="28"/>
        </w:rPr>
        <w:t>Предлагаем рассмотреть вопросы: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>о внесении изменений и дополнений в Федеральный закон от 28 декабря 2009 года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№ 381-ФЗ «Об основах государственного регулирования торговой деятельности в РФ» (правовое регулирование нестационарной торговли, ведение информационной базы предприятий отрасли «торговля, общественное питание и бытовое обслуживание» на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правовой основе, упорядочении деятельности торговых центров и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 xml:space="preserve">торговых комплексов и др.); 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>обмен опытом по организации работы по взаимодействию с местными</w:t>
      </w:r>
      <w:r w:rsidRP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товаропроизводителями, в части развития социальной торговой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сети, упорядочения нестационарных объектов и др.;</w:t>
      </w:r>
    </w:p>
    <w:p w:rsidR="002C7AAD" w:rsidRPr="005910B9" w:rsidRDefault="002C7AAD" w:rsidP="005910B9">
      <w:pPr>
        <w:jc w:val="both"/>
        <w:rPr>
          <w:sz w:val="28"/>
          <w:szCs w:val="28"/>
        </w:rPr>
      </w:pPr>
      <w:r w:rsidRPr="005910B9">
        <w:rPr>
          <w:sz w:val="28"/>
          <w:szCs w:val="28"/>
        </w:rPr>
        <w:t>о внесении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изменений и дополнений в Федеральный закон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от 22 ноября 1995 года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 xml:space="preserve"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статью 16 (в части запрета продажи алкогольной продукции в объектах торговли, расположенных на территориях, прилегающих к медицинским организациям и </w:t>
      </w:r>
      <w:proofErr w:type="spellStart"/>
      <w:proofErr w:type="gramStart"/>
      <w:r w:rsidRPr="005910B9">
        <w:rPr>
          <w:sz w:val="28"/>
          <w:szCs w:val="28"/>
        </w:rPr>
        <w:t>др</w:t>
      </w:r>
      <w:proofErr w:type="spellEnd"/>
      <w:proofErr w:type="gramEnd"/>
      <w:r w:rsidRPr="005910B9">
        <w:rPr>
          <w:sz w:val="28"/>
          <w:szCs w:val="28"/>
        </w:rPr>
        <w:t xml:space="preserve">). 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sz w:val="28"/>
          <w:szCs w:val="28"/>
        </w:rPr>
      </w:pPr>
      <w:r w:rsidRPr="005910B9">
        <w:rPr>
          <w:sz w:val="28"/>
          <w:szCs w:val="28"/>
        </w:rPr>
        <w:t>методическая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помощь по решению вопросов в рамках применения нового законодательства в области земельных отношений, в связи с вступлением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в действие Земельного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кодекса РФ</w:t>
      </w:r>
      <w:r w:rsidR="005910B9">
        <w:rPr>
          <w:sz w:val="28"/>
          <w:szCs w:val="28"/>
        </w:rPr>
        <w:t xml:space="preserve"> </w:t>
      </w:r>
      <w:r w:rsidRPr="005910B9">
        <w:rPr>
          <w:sz w:val="28"/>
          <w:szCs w:val="28"/>
        </w:rPr>
        <w:t>с 01 марта 2015г.</w:t>
      </w:r>
    </w:p>
    <w:p w:rsidR="002C7AAD" w:rsidRPr="005910B9" w:rsidRDefault="002C7AAD" w:rsidP="005910B9">
      <w:pPr>
        <w:pStyle w:val="a"/>
        <w:numPr>
          <w:ilvl w:val="0"/>
          <w:numId w:val="0"/>
        </w:numPr>
        <w:rPr>
          <w:b/>
          <w:sz w:val="28"/>
          <w:szCs w:val="28"/>
        </w:rPr>
      </w:pPr>
      <w:r w:rsidRPr="005910B9">
        <w:rPr>
          <w:b/>
          <w:sz w:val="28"/>
          <w:szCs w:val="28"/>
        </w:rPr>
        <w:t>Если считаете проведение такого мероприятия полезным, то укажите, пожалуйста, наиболее важные и актуальные, с Вашей точки зрения, вопросы для обсуждения.</w:t>
      </w:r>
    </w:p>
    <w:p w:rsidR="002C7AAD" w:rsidRPr="005910B9" w:rsidRDefault="002C7AAD" w:rsidP="005910B9">
      <w:pPr>
        <w:pStyle w:val="ad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10B9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5910B9">
        <w:rPr>
          <w:rFonts w:ascii="Times New Roman" w:hAnsi="Times New Roman"/>
          <w:sz w:val="28"/>
          <w:szCs w:val="28"/>
        </w:rPr>
        <w:t>частно</w:t>
      </w:r>
      <w:proofErr w:type="spellEnd"/>
      <w:r w:rsidRPr="005910B9">
        <w:rPr>
          <w:rFonts w:ascii="Times New Roman" w:hAnsi="Times New Roman"/>
          <w:sz w:val="28"/>
          <w:szCs w:val="28"/>
        </w:rPr>
        <w:t xml:space="preserve"> – государственного партнерства</w:t>
      </w:r>
    </w:p>
    <w:p w:rsidR="002C7AAD" w:rsidRPr="005910B9" w:rsidRDefault="002C7AAD" w:rsidP="005910B9">
      <w:pPr>
        <w:pStyle w:val="ad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10B9">
        <w:rPr>
          <w:rFonts w:ascii="Times New Roman" w:hAnsi="Times New Roman"/>
          <w:sz w:val="28"/>
          <w:szCs w:val="28"/>
        </w:rPr>
        <w:t>Методическое сопровождение внедрения системы стратегического планирования в соответствии с Федеральным законом от 28 июня 2014 года № 172-ФЗ «О стратегическом планировании в Российской Федерации».</w:t>
      </w:r>
    </w:p>
    <w:p w:rsidR="002C7AAD" w:rsidRPr="005910B9" w:rsidRDefault="002C7AAD" w:rsidP="005910B9">
      <w:pPr>
        <w:pStyle w:val="ad"/>
        <w:widowControl w:val="0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910B9">
        <w:rPr>
          <w:rFonts w:ascii="Times New Roman" w:hAnsi="Times New Roman"/>
          <w:sz w:val="28"/>
          <w:szCs w:val="28"/>
        </w:rPr>
        <w:lastRenderedPageBreak/>
        <w:t xml:space="preserve">Интересен обмен опытом с другими регионами по внедрению </w:t>
      </w:r>
      <w:proofErr w:type="spellStart"/>
      <w:r w:rsidRPr="005910B9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5910B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5910B9">
        <w:rPr>
          <w:rFonts w:ascii="Times New Roman" w:hAnsi="Times New Roman"/>
          <w:sz w:val="28"/>
          <w:szCs w:val="28"/>
        </w:rPr>
        <w:t>ориентированного</w:t>
      </w:r>
      <w:proofErr w:type="gramEnd"/>
      <w:r w:rsidRPr="005910B9">
        <w:rPr>
          <w:rFonts w:ascii="Times New Roman" w:hAnsi="Times New Roman"/>
          <w:sz w:val="28"/>
          <w:szCs w:val="28"/>
        </w:rPr>
        <w:t xml:space="preserve"> на результат.</w:t>
      </w:r>
    </w:p>
    <w:sectPr w:rsidR="002C7AAD" w:rsidRPr="005910B9" w:rsidSect="005910B9">
      <w:headerReference w:type="even" r:id="rId8"/>
      <w:headerReference w:type="default" r:id="rId9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1D" w:rsidRDefault="0017281D">
      <w:r>
        <w:separator/>
      </w:r>
    </w:p>
  </w:endnote>
  <w:endnote w:type="continuationSeparator" w:id="0">
    <w:p w:rsidR="0017281D" w:rsidRDefault="0017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1D" w:rsidRDefault="0017281D">
      <w:r>
        <w:separator/>
      </w:r>
    </w:p>
  </w:footnote>
  <w:footnote w:type="continuationSeparator" w:id="0">
    <w:p w:rsidR="0017281D" w:rsidRDefault="00172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DE" w:rsidRDefault="00A52F7D" w:rsidP="00A5235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70DD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70DDE" w:rsidRDefault="00C70DD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DE" w:rsidRDefault="00A52F7D" w:rsidP="00A52357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70DD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910B9">
      <w:rPr>
        <w:rStyle w:val="ab"/>
        <w:noProof/>
      </w:rPr>
      <w:t>4</w:t>
    </w:r>
    <w:r>
      <w:rPr>
        <w:rStyle w:val="ab"/>
      </w:rPr>
      <w:fldChar w:fldCharType="end"/>
    </w:r>
  </w:p>
  <w:p w:rsidR="00C70DDE" w:rsidRDefault="00C70DD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5C3476"/>
    <w:lvl w:ilvl="0">
      <w:numFmt w:val="bullet"/>
      <w:lvlText w:val="*"/>
      <w:lvlJc w:val="left"/>
    </w:lvl>
  </w:abstractNum>
  <w:abstractNum w:abstractNumId="1">
    <w:nsid w:val="01BD4CC5"/>
    <w:multiLevelType w:val="hybridMultilevel"/>
    <w:tmpl w:val="64048562"/>
    <w:lvl w:ilvl="0" w:tplc="0419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">
    <w:nsid w:val="02B34A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D87108"/>
    <w:multiLevelType w:val="singleLevel"/>
    <w:tmpl w:val="4ABA289C"/>
    <w:lvl w:ilvl="0">
      <w:start w:val="7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4">
    <w:nsid w:val="058B47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FD09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687A00"/>
    <w:multiLevelType w:val="hybridMultilevel"/>
    <w:tmpl w:val="46106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11D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41E41B7"/>
    <w:multiLevelType w:val="singleLevel"/>
    <w:tmpl w:val="7264D2F2"/>
    <w:lvl w:ilvl="0">
      <w:start w:val="1"/>
      <w:numFmt w:val="decimal"/>
      <w:pStyle w:val="a"/>
      <w:lvlText w:val="%1.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B687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6E4C16"/>
    <w:multiLevelType w:val="hybridMultilevel"/>
    <w:tmpl w:val="64048562"/>
    <w:lvl w:ilvl="0" w:tplc="0419000F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1">
    <w:nsid w:val="2CB857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DA12D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04E65AA"/>
    <w:multiLevelType w:val="hybridMultilevel"/>
    <w:tmpl w:val="4680F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6696A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27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093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8AF5B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9B104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BF569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0B240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53D78B2"/>
    <w:multiLevelType w:val="hybridMultilevel"/>
    <w:tmpl w:val="250452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810EA3"/>
    <w:multiLevelType w:val="hybridMultilevel"/>
    <w:tmpl w:val="C5028A3A"/>
    <w:lvl w:ilvl="0" w:tplc="722A579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2">
    <w:nsid w:val="4C5D58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2038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1600E5E"/>
    <w:multiLevelType w:val="hybridMultilevel"/>
    <w:tmpl w:val="A58C8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33469D"/>
    <w:multiLevelType w:val="hybridMultilevel"/>
    <w:tmpl w:val="72521700"/>
    <w:lvl w:ilvl="0" w:tplc="04190001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26">
    <w:nsid w:val="52902D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7575C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97E02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9EC0DAB"/>
    <w:multiLevelType w:val="hybridMultilevel"/>
    <w:tmpl w:val="8A44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125F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06601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0F31C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10A13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BF2728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7D444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83E2B25"/>
    <w:multiLevelType w:val="hybridMultilevel"/>
    <w:tmpl w:val="7DBE70A2"/>
    <w:lvl w:ilvl="0" w:tplc="4F7CD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2659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33"/>
  </w:num>
  <w:num w:numId="3">
    <w:abstractNumId w:val="11"/>
  </w:num>
  <w:num w:numId="4">
    <w:abstractNumId w:val="35"/>
  </w:num>
  <w:num w:numId="5">
    <w:abstractNumId w:val="22"/>
  </w:num>
  <w:num w:numId="6">
    <w:abstractNumId w:val="19"/>
  </w:num>
  <w:num w:numId="7">
    <w:abstractNumId w:val="14"/>
  </w:num>
  <w:num w:numId="8">
    <w:abstractNumId w:val="26"/>
  </w:num>
  <w:num w:numId="9">
    <w:abstractNumId w:val="15"/>
  </w:num>
  <w:num w:numId="10">
    <w:abstractNumId w:val="31"/>
  </w:num>
  <w:num w:numId="11">
    <w:abstractNumId w:val="28"/>
  </w:num>
  <w:num w:numId="12">
    <w:abstractNumId w:val="30"/>
  </w:num>
  <w:num w:numId="13">
    <w:abstractNumId w:val="5"/>
  </w:num>
  <w:num w:numId="14">
    <w:abstractNumId w:val="32"/>
  </w:num>
  <w:num w:numId="15">
    <w:abstractNumId w:val="27"/>
  </w:num>
  <w:num w:numId="16">
    <w:abstractNumId w:val="37"/>
  </w:num>
  <w:num w:numId="17">
    <w:abstractNumId w:val="12"/>
  </w:num>
  <w:num w:numId="18">
    <w:abstractNumId w:val="16"/>
  </w:num>
  <w:num w:numId="19">
    <w:abstractNumId w:val="17"/>
  </w:num>
  <w:num w:numId="20">
    <w:abstractNumId w:val="2"/>
  </w:num>
  <w:num w:numId="21">
    <w:abstractNumId w:val="34"/>
  </w:num>
  <w:num w:numId="22">
    <w:abstractNumId w:val="18"/>
  </w:num>
  <w:num w:numId="23">
    <w:abstractNumId w:val="9"/>
  </w:num>
  <w:num w:numId="24">
    <w:abstractNumId w:val="4"/>
  </w:num>
  <w:num w:numId="25">
    <w:abstractNumId w:val="23"/>
  </w:num>
  <w:num w:numId="26">
    <w:abstractNumId w:val="7"/>
  </w:num>
  <w:num w:numId="27">
    <w:abstractNumId w:val="13"/>
  </w:num>
  <w:num w:numId="28">
    <w:abstractNumId w:val="25"/>
  </w:num>
  <w:num w:numId="29">
    <w:abstractNumId w:val="6"/>
  </w:num>
  <w:num w:numId="30">
    <w:abstractNumId w:val="10"/>
  </w:num>
  <w:num w:numId="31">
    <w:abstractNumId w:val="1"/>
  </w:num>
  <w:num w:numId="32">
    <w:abstractNumId w:val="24"/>
  </w:num>
  <w:num w:numId="33">
    <w:abstractNumId w:val="29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3"/>
  </w:num>
  <w:num w:numId="37">
    <w:abstractNumId w:val="36"/>
  </w:num>
  <w:num w:numId="38">
    <w:abstractNumId w:val="8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A1AE5"/>
    <w:rsid w:val="00037633"/>
    <w:rsid w:val="000442EF"/>
    <w:rsid w:val="000711E4"/>
    <w:rsid w:val="00083792"/>
    <w:rsid w:val="00087F39"/>
    <w:rsid w:val="000C00B2"/>
    <w:rsid w:val="000C2E1C"/>
    <w:rsid w:val="000D3BCC"/>
    <w:rsid w:val="000D6D93"/>
    <w:rsid w:val="000E7074"/>
    <w:rsid w:val="000F298A"/>
    <w:rsid w:val="001106D8"/>
    <w:rsid w:val="001505F7"/>
    <w:rsid w:val="00170712"/>
    <w:rsid w:val="0017281D"/>
    <w:rsid w:val="00172F66"/>
    <w:rsid w:val="001A1DCB"/>
    <w:rsid w:val="001C581E"/>
    <w:rsid w:val="001C5B40"/>
    <w:rsid w:val="001C72EA"/>
    <w:rsid w:val="001D2F89"/>
    <w:rsid w:val="00217E89"/>
    <w:rsid w:val="00221E58"/>
    <w:rsid w:val="00257AEB"/>
    <w:rsid w:val="00260831"/>
    <w:rsid w:val="00266FBD"/>
    <w:rsid w:val="002711BC"/>
    <w:rsid w:val="002A3F29"/>
    <w:rsid w:val="002B1A95"/>
    <w:rsid w:val="002C7AAD"/>
    <w:rsid w:val="002D7043"/>
    <w:rsid w:val="002D732B"/>
    <w:rsid w:val="002D754F"/>
    <w:rsid w:val="00322A2F"/>
    <w:rsid w:val="00325BED"/>
    <w:rsid w:val="003400B7"/>
    <w:rsid w:val="003519B9"/>
    <w:rsid w:val="003711EA"/>
    <w:rsid w:val="003A1AE5"/>
    <w:rsid w:val="003A1E92"/>
    <w:rsid w:val="003B14EF"/>
    <w:rsid w:val="00445D46"/>
    <w:rsid w:val="004524F4"/>
    <w:rsid w:val="00454963"/>
    <w:rsid w:val="00475E77"/>
    <w:rsid w:val="0048548C"/>
    <w:rsid w:val="004969FF"/>
    <w:rsid w:val="004A295A"/>
    <w:rsid w:val="004B11CA"/>
    <w:rsid w:val="004B7D5C"/>
    <w:rsid w:val="004C45DD"/>
    <w:rsid w:val="004D3051"/>
    <w:rsid w:val="004D31B3"/>
    <w:rsid w:val="004D4E7B"/>
    <w:rsid w:val="004E233D"/>
    <w:rsid w:val="004E377D"/>
    <w:rsid w:val="004F02F5"/>
    <w:rsid w:val="004F4055"/>
    <w:rsid w:val="0051513E"/>
    <w:rsid w:val="005347F4"/>
    <w:rsid w:val="00564E45"/>
    <w:rsid w:val="0059098F"/>
    <w:rsid w:val="005910B9"/>
    <w:rsid w:val="005962E1"/>
    <w:rsid w:val="0059632F"/>
    <w:rsid w:val="005A05CE"/>
    <w:rsid w:val="005B2CCD"/>
    <w:rsid w:val="005B655F"/>
    <w:rsid w:val="005B77EB"/>
    <w:rsid w:val="005C4DC2"/>
    <w:rsid w:val="005D0F2C"/>
    <w:rsid w:val="005E4CF6"/>
    <w:rsid w:val="005E7C5D"/>
    <w:rsid w:val="006162DB"/>
    <w:rsid w:val="0063790F"/>
    <w:rsid w:val="006450BE"/>
    <w:rsid w:val="00654C26"/>
    <w:rsid w:val="00656868"/>
    <w:rsid w:val="00685405"/>
    <w:rsid w:val="006857C8"/>
    <w:rsid w:val="00693F83"/>
    <w:rsid w:val="006A131D"/>
    <w:rsid w:val="006A5DA8"/>
    <w:rsid w:val="006C23A8"/>
    <w:rsid w:val="006C5C9E"/>
    <w:rsid w:val="006E20A8"/>
    <w:rsid w:val="006F0592"/>
    <w:rsid w:val="006F650E"/>
    <w:rsid w:val="00710195"/>
    <w:rsid w:val="007121B5"/>
    <w:rsid w:val="00721C0D"/>
    <w:rsid w:val="00727C8F"/>
    <w:rsid w:val="00732485"/>
    <w:rsid w:val="0074648C"/>
    <w:rsid w:val="007629A3"/>
    <w:rsid w:val="00777E17"/>
    <w:rsid w:val="007879C8"/>
    <w:rsid w:val="007931DC"/>
    <w:rsid w:val="007C23A3"/>
    <w:rsid w:val="0080049F"/>
    <w:rsid w:val="00803BFE"/>
    <w:rsid w:val="00807932"/>
    <w:rsid w:val="00824A42"/>
    <w:rsid w:val="00827B43"/>
    <w:rsid w:val="00846F15"/>
    <w:rsid w:val="00850B3C"/>
    <w:rsid w:val="00864953"/>
    <w:rsid w:val="008852C6"/>
    <w:rsid w:val="008B0550"/>
    <w:rsid w:val="008D3088"/>
    <w:rsid w:val="008D51E1"/>
    <w:rsid w:val="008D5AA9"/>
    <w:rsid w:val="008D74D8"/>
    <w:rsid w:val="008E4F63"/>
    <w:rsid w:val="008F1BCA"/>
    <w:rsid w:val="009038FE"/>
    <w:rsid w:val="0090415F"/>
    <w:rsid w:val="009049C3"/>
    <w:rsid w:val="009111A6"/>
    <w:rsid w:val="00920A0C"/>
    <w:rsid w:val="00933EA9"/>
    <w:rsid w:val="00940D0C"/>
    <w:rsid w:val="00941A1F"/>
    <w:rsid w:val="0094304D"/>
    <w:rsid w:val="00943E5E"/>
    <w:rsid w:val="00955035"/>
    <w:rsid w:val="0096308E"/>
    <w:rsid w:val="00981B78"/>
    <w:rsid w:val="00984764"/>
    <w:rsid w:val="009941C5"/>
    <w:rsid w:val="009A7AC8"/>
    <w:rsid w:val="009C4992"/>
    <w:rsid w:val="009D19C8"/>
    <w:rsid w:val="009D28D1"/>
    <w:rsid w:val="009E329C"/>
    <w:rsid w:val="00A03AF6"/>
    <w:rsid w:val="00A12020"/>
    <w:rsid w:val="00A31495"/>
    <w:rsid w:val="00A422FD"/>
    <w:rsid w:val="00A47B41"/>
    <w:rsid w:val="00A52357"/>
    <w:rsid w:val="00A52F7D"/>
    <w:rsid w:val="00A85575"/>
    <w:rsid w:val="00A91CD7"/>
    <w:rsid w:val="00A93CB9"/>
    <w:rsid w:val="00A95152"/>
    <w:rsid w:val="00AB2859"/>
    <w:rsid w:val="00AC12F2"/>
    <w:rsid w:val="00AE11D8"/>
    <w:rsid w:val="00AF7FC4"/>
    <w:rsid w:val="00B07EC4"/>
    <w:rsid w:val="00B11DEC"/>
    <w:rsid w:val="00B22C03"/>
    <w:rsid w:val="00B32B3B"/>
    <w:rsid w:val="00B3708A"/>
    <w:rsid w:val="00B41141"/>
    <w:rsid w:val="00B44CE3"/>
    <w:rsid w:val="00B46606"/>
    <w:rsid w:val="00B66A5E"/>
    <w:rsid w:val="00B66E7C"/>
    <w:rsid w:val="00BB1806"/>
    <w:rsid w:val="00BB7C56"/>
    <w:rsid w:val="00BC03A1"/>
    <w:rsid w:val="00BC25C7"/>
    <w:rsid w:val="00BC78E2"/>
    <w:rsid w:val="00BE7666"/>
    <w:rsid w:val="00BF79D6"/>
    <w:rsid w:val="00C023D1"/>
    <w:rsid w:val="00C027B3"/>
    <w:rsid w:val="00C04122"/>
    <w:rsid w:val="00C20EC2"/>
    <w:rsid w:val="00C40D5F"/>
    <w:rsid w:val="00C614A6"/>
    <w:rsid w:val="00C67E47"/>
    <w:rsid w:val="00C70DDE"/>
    <w:rsid w:val="00C85ADB"/>
    <w:rsid w:val="00CB75A5"/>
    <w:rsid w:val="00CF0AF2"/>
    <w:rsid w:val="00D25069"/>
    <w:rsid w:val="00D37465"/>
    <w:rsid w:val="00D47716"/>
    <w:rsid w:val="00D6034E"/>
    <w:rsid w:val="00D6454D"/>
    <w:rsid w:val="00D80B81"/>
    <w:rsid w:val="00D84BF8"/>
    <w:rsid w:val="00D95D8C"/>
    <w:rsid w:val="00D976AA"/>
    <w:rsid w:val="00DA0207"/>
    <w:rsid w:val="00DA22A5"/>
    <w:rsid w:val="00DA756B"/>
    <w:rsid w:val="00DE5143"/>
    <w:rsid w:val="00DF5399"/>
    <w:rsid w:val="00DF6AF8"/>
    <w:rsid w:val="00E46991"/>
    <w:rsid w:val="00E5747B"/>
    <w:rsid w:val="00E61DDA"/>
    <w:rsid w:val="00E65F3D"/>
    <w:rsid w:val="00E70D8E"/>
    <w:rsid w:val="00E806DB"/>
    <w:rsid w:val="00EA6D94"/>
    <w:rsid w:val="00EB0416"/>
    <w:rsid w:val="00EC318E"/>
    <w:rsid w:val="00ED7129"/>
    <w:rsid w:val="00EF1262"/>
    <w:rsid w:val="00EF2D0C"/>
    <w:rsid w:val="00F13387"/>
    <w:rsid w:val="00F13573"/>
    <w:rsid w:val="00F162A7"/>
    <w:rsid w:val="00F17620"/>
    <w:rsid w:val="00F26336"/>
    <w:rsid w:val="00F37B7D"/>
    <w:rsid w:val="00F60347"/>
    <w:rsid w:val="00F6287B"/>
    <w:rsid w:val="00F974AB"/>
    <w:rsid w:val="00FA48F5"/>
    <w:rsid w:val="00FB18AD"/>
    <w:rsid w:val="00FB7B9C"/>
    <w:rsid w:val="00FC77B7"/>
    <w:rsid w:val="00FD1EC9"/>
    <w:rsid w:val="00FD2546"/>
    <w:rsid w:val="00FE7354"/>
    <w:rsid w:val="00FF06DA"/>
    <w:rsid w:val="00FF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A131D"/>
    <w:rPr>
      <w:sz w:val="24"/>
      <w:szCs w:val="24"/>
    </w:rPr>
  </w:style>
  <w:style w:type="paragraph" w:styleId="1">
    <w:name w:val="heading 1"/>
    <w:basedOn w:val="a0"/>
    <w:next w:val="a0"/>
    <w:qFormat/>
    <w:rsid w:val="006A131D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rsid w:val="006A131D"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qFormat/>
    <w:rsid w:val="006A131D"/>
    <w:pPr>
      <w:keepNext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6A131D"/>
    <w:pPr>
      <w:ind w:firstLine="1080"/>
      <w:jc w:val="both"/>
    </w:pPr>
    <w:rPr>
      <w:sz w:val="28"/>
    </w:rPr>
  </w:style>
  <w:style w:type="paragraph" w:styleId="a6">
    <w:name w:val="Balloon Text"/>
    <w:basedOn w:val="a0"/>
    <w:semiHidden/>
    <w:rsid w:val="006A131D"/>
    <w:rPr>
      <w:rFonts w:ascii="Tahoma" w:hAnsi="Tahoma" w:cs="Tahoma"/>
      <w:sz w:val="16"/>
      <w:szCs w:val="16"/>
    </w:rPr>
  </w:style>
  <w:style w:type="paragraph" w:styleId="a7">
    <w:name w:val="Title"/>
    <w:basedOn w:val="a0"/>
    <w:qFormat/>
    <w:rsid w:val="006A131D"/>
    <w:pPr>
      <w:jc w:val="center"/>
    </w:pPr>
    <w:rPr>
      <w:szCs w:val="20"/>
    </w:rPr>
  </w:style>
  <w:style w:type="paragraph" w:styleId="a8">
    <w:name w:val="Body Text"/>
    <w:basedOn w:val="a0"/>
    <w:rsid w:val="006A131D"/>
    <w:pPr>
      <w:jc w:val="center"/>
    </w:pPr>
    <w:rPr>
      <w:b/>
      <w:bCs/>
    </w:rPr>
  </w:style>
  <w:style w:type="paragraph" w:customStyle="1" w:styleId="a9">
    <w:name w:val="Знак"/>
    <w:basedOn w:val="a0"/>
    <w:rsid w:val="004D4E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0"/>
    <w:rsid w:val="00FB18A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FB18AD"/>
  </w:style>
  <w:style w:type="paragraph" w:styleId="ac">
    <w:name w:val="Normal (Web)"/>
    <w:basedOn w:val="a0"/>
    <w:unhideWhenUsed/>
    <w:rsid w:val="004A295A"/>
    <w:pPr>
      <w:spacing w:before="105" w:after="105"/>
      <w:ind w:firstLine="240"/>
    </w:pPr>
    <w:rPr>
      <w:color w:val="000000"/>
    </w:rPr>
  </w:style>
  <w:style w:type="character" w:customStyle="1" w:styleId="b-letter">
    <w:name w:val="b-letter"/>
    <w:basedOn w:val="a1"/>
    <w:rsid w:val="004A295A"/>
  </w:style>
  <w:style w:type="character" w:customStyle="1" w:styleId="a5">
    <w:name w:val="Основной текст с отступом Знак"/>
    <w:basedOn w:val="a1"/>
    <w:link w:val="a4"/>
    <w:rsid w:val="004A295A"/>
    <w:rPr>
      <w:sz w:val="28"/>
      <w:szCs w:val="24"/>
    </w:rPr>
  </w:style>
  <w:style w:type="paragraph" w:styleId="ad">
    <w:name w:val="List Paragraph"/>
    <w:basedOn w:val="a0"/>
    <w:uiPriority w:val="34"/>
    <w:qFormat/>
    <w:rsid w:val="00777E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en1">
    <w:name w:val="gen1"/>
    <w:rsid w:val="00FD1EC9"/>
    <w:rPr>
      <w:color w:val="000000"/>
      <w:sz w:val="18"/>
      <w:szCs w:val="18"/>
    </w:rPr>
  </w:style>
  <w:style w:type="character" w:customStyle="1" w:styleId="ae">
    <w:name w:val="Без интервала Знак"/>
    <w:basedOn w:val="a1"/>
    <w:uiPriority w:val="1"/>
    <w:rsid w:val="001C581E"/>
  </w:style>
  <w:style w:type="paragraph" w:customStyle="1" w:styleId="ConsPlusNormal">
    <w:name w:val="ConsPlusNormal"/>
    <w:rsid w:val="001C581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">
    <w:name w:val="No Spacing"/>
    <w:uiPriority w:val="1"/>
    <w:qFormat/>
    <w:rsid w:val="001C581E"/>
    <w:pPr>
      <w:suppressAutoHyphens/>
    </w:pPr>
    <w:rPr>
      <w:sz w:val="28"/>
      <w:szCs w:val="22"/>
      <w:lang w:eastAsia="zh-CN"/>
    </w:rPr>
  </w:style>
  <w:style w:type="table" w:styleId="af0">
    <w:name w:val="Table Grid"/>
    <w:basedOn w:val="a2"/>
    <w:uiPriority w:val="59"/>
    <w:rsid w:val="001C58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"/>
    <w:basedOn w:val="a0"/>
    <w:rsid w:val="009038FE"/>
    <w:pPr>
      <w:numPr>
        <w:numId w:val="38"/>
      </w:num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&#1053;&#1086;&#1074;&#1099;&#1077;%20&#1073;&#1083;&#1072;&#1085;&#1082;&#1080;\&#1059;&#1055;&#1056;.%20&#1069;&#1050;&#1054;&#1053;&#1054;&#1052;&#1048;&#1050;&#1048;%20-%20&#1059;&#1043;&#1051;&#1054;&#1042;&#1054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6AB4-26C0-4EA8-AE0A-C21590670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УПР. ЭКОНОМИКИ - УГЛОВОЙ</Template>
  <TotalTime>710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Уссурийск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slivkina</cp:lastModifiedBy>
  <cp:revision>21</cp:revision>
  <cp:lastPrinted>2015-03-05T05:43:00Z</cp:lastPrinted>
  <dcterms:created xsi:type="dcterms:W3CDTF">2015-02-26T08:12:00Z</dcterms:created>
  <dcterms:modified xsi:type="dcterms:W3CDTF">2015-03-19T09:55:00Z</dcterms:modified>
</cp:coreProperties>
</file>